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ascii="黑体" w:eastAsia="黑体"/>
          <w:b/>
          <w:bCs/>
          <w:sz w:val="36"/>
          <w:szCs w:val="36"/>
        </w:rPr>
      </w:pPr>
      <w:r>
        <w:rPr>
          <w:rFonts w:hint="eastAsia" w:ascii="黑体" w:eastAsia="黑体"/>
          <w:b/>
          <w:bCs/>
          <w:sz w:val="36"/>
          <w:szCs w:val="36"/>
        </w:rPr>
        <w:t>南昌大学“</w:t>
      </w:r>
      <w:permStart w:id="0" w:edGrp="everyone"/>
      <w:r>
        <w:rPr>
          <w:rFonts w:hint="eastAsia" w:ascii="黑体" w:eastAsia="黑体"/>
          <w:b/>
          <w:bCs/>
          <w:sz w:val="36"/>
          <w:szCs w:val="36"/>
          <w:u w:val="single"/>
        </w:rPr>
        <w:t>　　　　（项目名称）</w:t>
      </w:r>
      <w:permEnd w:id="0"/>
      <w:r>
        <w:rPr>
          <w:rFonts w:hint="eastAsia" w:ascii="黑体" w:eastAsia="黑体"/>
          <w:b/>
          <w:bCs/>
          <w:sz w:val="36"/>
          <w:szCs w:val="36"/>
        </w:rPr>
        <w:t>”软件开发合同</w:t>
      </w:r>
    </w:p>
    <w:p>
      <w:pPr>
        <w:snapToGrid w:val="0"/>
        <w:spacing w:line="440" w:lineRule="exact"/>
        <w:ind w:firstLine="562"/>
        <w:jc w:val="center"/>
        <w:rPr>
          <w:rFonts w:ascii="黑体" w:eastAsia="黑体"/>
          <w:b/>
          <w:bCs/>
          <w:sz w:val="36"/>
          <w:szCs w:val="36"/>
        </w:rPr>
      </w:pPr>
    </w:p>
    <w:p>
      <w:pPr>
        <w:snapToGrid w:val="0"/>
        <w:spacing w:line="440" w:lineRule="exact"/>
        <w:ind w:right="480" w:firstLine="480" w:firstLineChars="200"/>
        <w:jc w:val="center"/>
        <w:rPr>
          <w:rFonts w:ascii="宋体"/>
          <w:sz w:val="24"/>
        </w:rPr>
      </w:pPr>
      <w:r>
        <w:rPr>
          <w:rFonts w:hint="eastAsia" w:ascii="宋体" w:hAnsi="宋体"/>
          <w:sz w:val="24"/>
        </w:rPr>
        <w:t xml:space="preserve">                        合同编号：</w:t>
      </w:r>
      <w:permStart w:id="1" w:edGrp="everyone"/>
    </w:p>
    <w:p>
      <w:pPr>
        <w:snapToGrid w:val="0"/>
        <w:spacing w:line="440" w:lineRule="exact"/>
        <w:ind w:right="480" w:firstLine="5040" w:firstLineChars="2100"/>
        <w:rPr>
          <w:rFonts w:ascii="宋体" w:hAnsi="宋体"/>
          <w:sz w:val="24"/>
        </w:rPr>
      </w:pPr>
      <w:r>
        <w:rPr>
          <w:rFonts w:hint="eastAsia" w:ascii="宋体" w:hAnsi="宋体"/>
          <w:sz w:val="24"/>
        </w:rPr>
        <w:t>文件编号：</w:t>
      </w:r>
    </w:p>
    <w:p>
      <w:pPr>
        <w:spacing w:line="440" w:lineRule="exact"/>
        <w:rPr>
          <w:rFonts w:ascii="楷体" w:hAnsi="楷体" w:eastAsia="楷体"/>
          <w:szCs w:val="21"/>
          <w:highlight w:val="yellow"/>
        </w:rPr>
      </w:pPr>
      <w:r>
        <w:rPr>
          <w:rFonts w:hint="eastAsia" w:ascii="楷体" w:hAnsi="楷体" w:eastAsia="楷体"/>
          <w:szCs w:val="21"/>
          <w:highlight w:val="yellow"/>
        </w:rPr>
        <w:t>注：</w:t>
      </w:r>
      <w:r>
        <w:rPr>
          <w:rFonts w:ascii="楷体" w:hAnsi="楷体" w:eastAsia="楷体"/>
          <w:szCs w:val="21"/>
          <w:highlight w:val="yellow"/>
        </w:rPr>
        <w:t>1、适用于软件开发类采购合同。</w:t>
      </w:r>
    </w:p>
    <w:p>
      <w:pPr>
        <w:spacing w:line="440" w:lineRule="exact"/>
        <w:ind w:firstLine="420" w:firstLineChars="200"/>
        <w:rPr>
          <w:rFonts w:ascii="楷体" w:hAnsi="楷体" w:eastAsia="楷体"/>
          <w:szCs w:val="21"/>
        </w:rPr>
      </w:pPr>
      <w:r>
        <w:rPr>
          <w:rFonts w:ascii="楷体" w:hAnsi="楷体" w:eastAsia="楷体"/>
          <w:szCs w:val="21"/>
          <w:highlight w:val="yellow"/>
        </w:rPr>
        <w:t>2、本合同范本为规范性条款，一般不得修改和删减，建议项目申请单位与供应商具体协商确定的内容已在括号中注明，项目申请单位及供应商也可根据招标采购文件、供应商的投标文件和实际情况，依法依规在合同范本每章节后增加相关合同条款。</w:t>
      </w:r>
    </w:p>
    <w:permEnd w:id="1"/>
    <w:p>
      <w:pPr>
        <w:snapToGrid w:val="0"/>
        <w:spacing w:line="440" w:lineRule="exact"/>
        <w:ind w:right="480" w:firstLine="5040" w:firstLineChars="2100"/>
        <w:rPr>
          <w:rFonts w:ascii="宋体" w:hAnsi="宋体"/>
          <w:sz w:val="24"/>
        </w:rPr>
      </w:pPr>
    </w:p>
    <w:p>
      <w:pPr>
        <w:snapToGrid w:val="0"/>
        <w:spacing w:line="440" w:lineRule="exact"/>
        <w:rPr>
          <w:rFonts w:ascii="宋体"/>
          <w:sz w:val="24"/>
        </w:rPr>
      </w:pPr>
      <w:r>
        <w:rPr>
          <w:rFonts w:hint="eastAsia" w:ascii="宋体" w:hAnsi="宋体"/>
          <w:sz w:val="24"/>
        </w:rPr>
        <w:t xml:space="preserve">    买方： </w:t>
      </w:r>
      <w:r>
        <w:rPr>
          <w:rFonts w:hint="eastAsia" w:ascii="宋体" w:hAnsi="宋体"/>
          <w:sz w:val="24"/>
          <w:u w:val="single"/>
        </w:rPr>
        <w:t>南昌大学</w:t>
      </w:r>
      <w:r>
        <w:rPr>
          <w:rFonts w:hint="eastAsia" w:ascii="宋体" w:hAnsi="宋体"/>
          <w:sz w:val="24"/>
        </w:rPr>
        <w:t>（以下简称甲方）</w:t>
      </w:r>
    </w:p>
    <w:p>
      <w:pPr>
        <w:snapToGrid w:val="0"/>
        <w:spacing w:line="440" w:lineRule="exact"/>
        <w:ind w:firstLine="480" w:firstLineChars="200"/>
        <w:rPr>
          <w:rFonts w:hint="default" w:ascii="宋体" w:eastAsia="宋体"/>
          <w:sz w:val="24"/>
          <w:lang w:val="en-US" w:eastAsia="zh-CN"/>
        </w:rPr>
      </w:pPr>
      <w:r>
        <w:rPr>
          <w:rFonts w:hint="eastAsia" w:ascii="宋体" w:hAnsi="宋体"/>
          <w:sz w:val="24"/>
        </w:rPr>
        <w:t>法定代表人</w:t>
      </w:r>
      <w:r>
        <w:rPr>
          <w:rFonts w:hint="eastAsia" w:ascii="宋体" w:hAnsi="宋体"/>
          <w:color w:val="auto"/>
          <w:sz w:val="24"/>
        </w:rPr>
        <w:t>：</w:t>
      </w:r>
      <w:ins w:id="0" w:author="廖艺齐" w:date="2025-05-27T11:35:36Z">
        <w:r>
          <w:rPr>
            <w:rFonts w:hint="eastAsia" w:ascii="宋体" w:hAnsi="宋体"/>
            <w:color w:val="auto"/>
            <w:sz w:val="24"/>
            <w:u w:val="single"/>
            <w:lang w:val="en-US" w:eastAsia="zh-CN"/>
          </w:rPr>
          <w:t>陈</w:t>
        </w:r>
      </w:ins>
      <w:ins w:id="1" w:author="廖艺齐" w:date="2025-05-27T11:35:40Z">
        <w:r>
          <w:rPr>
            <w:rFonts w:hint="eastAsia" w:ascii="宋体" w:hAnsi="宋体"/>
            <w:color w:val="auto"/>
            <w:sz w:val="24"/>
            <w:u w:val="single"/>
            <w:lang w:val="en-US" w:eastAsia="zh-CN"/>
          </w:rPr>
          <w:t>晔</w:t>
        </w:r>
      </w:ins>
      <w:ins w:id="2" w:author="廖艺齐" w:date="2025-05-27T11:35:42Z">
        <w:r>
          <w:rPr>
            <w:rFonts w:hint="eastAsia" w:ascii="宋体" w:hAnsi="宋体"/>
            <w:color w:val="auto"/>
            <w:sz w:val="24"/>
            <w:u w:val="single"/>
            <w:lang w:val="en-US" w:eastAsia="zh-CN"/>
          </w:rPr>
          <w:t>光</w:t>
        </w:r>
      </w:ins>
    </w:p>
    <w:p>
      <w:pPr>
        <w:snapToGrid w:val="0"/>
        <w:spacing w:line="440" w:lineRule="exact"/>
        <w:ind w:firstLine="480" w:firstLineChars="200"/>
        <w:rPr>
          <w:rFonts w:ascii="宋体"/>
          <w:sz w:val="24"/>
        </w:rPr>
      </w:pPr>
      <w:r>
        <w:rPr>
          <w:rFonts w:hint="eastAsia" w:ascii="宋体" w:hAnsi="宋体"/>
          <w:sz w:val="24"/>
        </w:rPr>
        <w:t>组织机构代码：</w:t>
      </w:r>
      <w:r>
        <w:rPr>
          <w:rFonts w:ascii="仿宋_GB2312" w:hAnsi="宋体" w:eastAsia="仿宋_GB2312"/>
          <w:sz w:val="24"/>
          <w:u w:val="single"/>
        </w:rPr>
        <w:t>12360000491015556U</w:t>
      </w:r>
    </w:p>
    <w:p>
      <w:pPr>
        <w:snapToGrid w:val="0"/>
        <w:spacing w:line="440" w:lineRule="exact"/>
        <w:ind w:firstLine="480" w:firstLineChars="200"/>
        <w:rPr>
          <w:rFonts w:ascii="宋体"/>
          <w:sz w:val="24"/>
          <w:highlight w:val="yellow"/>
        </w:rPr>
      </w:pPr>
      <w:r>
        <w:rPr>
          <w:rFonts w:hint="eastAsia" w:ascii="宋体" w:hAnsi="宋体"/>
          <w:sz w:val="24"/>
        </w:rPr>
        <w:t>卖方：</w:t>
      </w:r>
      <w:permStart w:id="2" w:edGrp="everyone"/>
      <w:r>
        <w:rPr>
          <w:rFonts w:hint="eastAsia" w:ascii="宋体" w:hAnsi="宋体"/>
          <w:sz w:val="24"/>
          <w:highlight w:val="yellow"/>
          <w:u w:val="single"/>
        </w:rPr>
        <w:t>　　　　　　　　　　　</w:t>
      </w:r>
      <w:permEnd w:id="2"/>
      <w:r>
        <w:rPr>
          <w:rFonts w:hint="eastAsia" w:ascii="宋体" w:hAnsi="宋体"/>
          <w:sz w:val="24"/>
        </w:rPr>
        <w:t>（以下简称</w:t>
      </w:r>
      <w:bookmarkStart w:id="0" w:name="_GoBack"/>
      <w:bookmarkEnd w:id="0"/>
      <w:r>
        <w:rPr>
          <w:rFonts w:hint="eastAsia" w:ascii="宋体" w:hAnsi="宋体"/>
          <w:sz w:val="24"/>
        </w:rPr>
        <w:t>乙方）</w:t>
      </w:r>
    </w:p>
    <w:p>
      <w:pPr>
        <w:snapToGrid w:val="0"/>
        <w:spacing w:line="440" w:lineRule="exact"/>
        <w:ind w:firstLine="480" w:firstLineChars="200"/>
        <w:rPr>
          <w:rFonts w:ascii="宋体" w:hAnsi="宋体"/>
          <w:sz w:val="24"/>
        </w:rPr>
      </w:pPr>
      <w:r>
        <w:rPr>
          <w:rFonts w:hint="eastAsia" w:ascii="宋体" w:hAnsi="宋体"/>
          <w:sz w:val="24"/>
        </w:rPr>
        <w:t>法定代表人：</w:t>
      </w:r>
      <w:permStart w:id="3" w:edGrp="everyone"/>
      <w:r>
        <w:rPr>
          <w:rFonts w:hint="eastAsia" w:ascii="宋体" w:hAnsi="宋体"/>
          <w:sz w:val="24"/>
          <w:highlight w:val="yellow"/>
          <w:u w:val="single"/>
        </w:rPr>
        <w:t>　　　　　　　　　　　</w:t>
      </w:r>
      <w:permEnd w:id="3"/>
    </w:p>
    <w:p>
      <w:pPr>
        <w:snapToGrid w:val="0"/>
        <w:spacing w:line="440" w:lineRule="exact"/>
        <w:ind w:firstLine="480" w:firstLineChars="200"/>
        <w:rPr>
          <w:rFonts w:ascii="宋体" w:hAnsi="宋体"/>
          <w:sz w:val="24"/>
          <w:u w:val="single"/>
        </w:rPr>
      </w:pPr>
      <w:r>
        <w:rPr>
          <w:rFonts w:hint="eastAsia" w:ascii="宋体" w:hAnsi="宋体"/>
          <w:sz w:val="24"/>
        </w:rPr>
        <w:t>组织机构代码：</w:t>
      </w:r>
      <w:permStart w:id="4" w:edGrp="everyone"/>
      <w:r>
        <w:rPr>
          <w:rFonts w:hint="eastAsia" w:ascii="宋体" w:hAnsi="宋体"/>
          <w:sz w:val="24"/>
          <w:highlight w:val="yellow"/>
          <w:u w:val="single"/>
        </w:rPr>
        <w:t>　　　　　　　　　　　</w:t>
      </w:r>
      <w:permEnd w:id="4"/>
    </w:p>
    <w:p>
      <w:pPr>
        <w:snapToGrid w:val="0"/>
        <w:spacing w:line="440" w:lineRule="exact"/>
        <w:ind w:firstLine="480" w:firstLineChars="200"/>
        <w:rPr>
          <w:rFonts w:ascii="宋体" w:hAnsi="宋体"/>
          <w:sz w:val="24"/>
        </w:rPr>
      </w:pPr>
    </w:p>
    <w:p>
      <w:pPr>
        <w:snapToGrid w:val="0"/>
        <w:spacing w:line="440" w:lineRule="exact"/>
        <w:ind w:firstLine="480" w:firstLineChars="200"/>
        <w:rPr>
          <w:rFonts w:ascii="宋体"/>
          <w:sz w:val="24"/>
        </w:rPr>
      </w:pPr>
      <w:r>
        <w:rPr>
          <w:rFonts w:hint="eastAsia" w:ascii="宋体" w:hAnsi="宋体"/>
          <w:sz w:val="24"/>
        </w:rPr>
        <w:t>甲乙双方根据</w:t>
      </w:r>
      <w:r>
        <w:rPr>
          <w:rFonts w:hint="eastAsia" w:ascii="宋体" w:hAnsi="宋体"/>
          <w:color w:val="000000" w:themeColor="text1"/>
          <w:sz w:val="24"/>
          <w:u w:val="single"/>
        </w:rPr>
        <w:t>《中华人民共和国政府采购法》、</w:t>
      </w:r>
      <w:r>
        <w:rPr>
          <w:rFonts w:hint="eastAsia" w:ascii="宋体" w:hAnsi="宋体"/>
          <w:color w:val="000000" w:themeColor="text1"/>
          <w:sz w:val="24"/>
        </w:rPr>
        <w:t>《</w:t>
      </w:r>
      <w:r>
        <w:rPr>
          <w:rFonts w:hint="eastAsia" w:ascii="宋体" w:hAnsi="宋体"/>
          <w:sz w:val="24"/>
        </w:rPr>
        <w:t>中华人民共和国民法典》及其他相关法律法规的规定，遵循平等、自愿、公平和诚实信用的原则，就甲方购买乙方货物相关事宜友好协商订立本合同，供双方共同恪守。</w:t>
      </w:r>
    </w:p>
    <w:p>
      <w:pPr>
        <w:snapToGrid w:val="0"/>
        <w:spacing w:line="440" w:lineRule="exact"/>
        <w:ind w:firstLine="482" w:firstLineChars="200"/>
        <w:rPr>
          <w:rFonts w:ascii="宋体"/>
          <w:b/>
          <w:bCs/>
          <w:sz w:val="24"/>
        </w:rPr>
      </w:pPr>
      <w:r>
        <w:rPr>
          <w:rFonts w:hint="eastAsia" w:ascii="宋体" w:hAnsi="宋体"/>
          <w:b/>
          <w:bCs/>
          <w:sz w:val="24"/>
        </w:rPr>
        <w:t>第一条  合同标的</w:t>
      </w:r>
    </w:p>
    <w:p>
      <w:pPr>
        <w:snapToGrid w:val="0"/>
        <w:spacing w:line="440" w:lineRule="exact"/>
        <w:ind w:firstLine="480" w:firstLineChars="200"/>
        <w:rPr>
          <w:rFonts w:ascii="宋体"/>
          <w:sz w:val="24"/>
        </w:rPr>
      </w:pPr>
      <w:r>
        <w:rPr>
          <w:rFonts w:hint="eastAsia" w:ascii="宋体" w:hAnsi="宋体"/>
          <w:sz w:val="24"/>
        </w:rPr>
        <w:t>南昌大学</w:t>
      </w:r>
      <w:permStart w:id="5" w:edGrp="everyone"/>
      <w:r>
        <w:rPr>
          <w:rFonts w:hint="eastAsia" w:ascii="宋体" w:hAnsi="宋体"/>
          <w:sz w:val="24"/>
          <w:highlight w:val="yellow"/>
        </w:rPr>
        <w:t>“</w:t>
      </w:r>
      <w:r>
        <w:rPr>
          <w:rFonts w:hint="eastAsia" w:ascii="宋体" w:hAnsi="宋体"/>
          <w:sz w:val="24"/>
          <w:highlight w:val="yellow"/>
          <w:u w:val="single"/>
        </w:rPr>
        <w:t>　　　　　　　　　　　　　</w:t>
      </w:r>
      <w:r>
        <w:rPr>
          <w:rFonts w:hint="eastAsia" w:ascii="宋体" w:hAnsi="宋体"/>
          <w:sz w:val="24"/>
          <w:highlight w:val="yellow"/>
        </w:rPr>
        <w:t>软件</w:t>
      </w:r>
      <w:r>
        <w:rPr>
          <w:rFonts w:hint="eastAsia" w:ascii="宋体" w:hAnsi="宋体"/>
          <w:sz w:val="24"/>
        </w:rPr>
        <w:t>”</w:t>
      </w:r>
      <w:permEnd w:id="5"/>
      <w:r>
        <w:rPr>
          <w:rFonts w:hint="eastAsia" w:ascii="宋体" w:hAnsi="宋体"/>
          <w:sz w:val="24"/>
        </w:rPr>
        <w:t>壹套。</w:t>
      </w:r>
    </w:p>
    <w:p>
      <w:pPr>
        <w:numPr>
          <w:ilvl w:val="0"/>
          <w:numId w:val="1"/>
        </w:numPr>
        <w:snapToGrid w:val="0"/>
        <w:spacing w:line="440" w:lineRule="exact"/>
        <w:ind w:firstLine="482" w:firstLineChars="200"/>
        <w:rPr>
          <w:rFonts w:ascii="宋体" w:hAnsi="宋体"/>
          <w:b/>
          <w:bCs/>
          <w:sz w:val="24"/>
        </w:rPr>
      </w:pPr>
      <w:r>
        <w:rPr>
          <w:rFonts w:hint="eastAsia" w:ascii="宋体" w:hAnsi="宋体"/>
          <w:b/>
          <w:bCs/>
          <w:sz w:val="24"/>
        </w:rPr>
        <w:t xml:space="preserve"> 合同标的质量</w:t>
      </w:r>
    </w:p>
    <w:p>
      <w:pPr>
        <w:snapToGrid w:val="0"/>
        <w:spacing w:line="440" w:lineRule="exact"/>
        <w:ind w:firstLine="480" w:firstLineChars="200"/>
        <w:rPr>
          <w:rFonts w:ascii="宋体" w:hAnsi="宋体"/>
          <w:b/>
          <w:bCs/>
          <w:sz w:val="24"/>
        </w:rPr>
      </w:pPr>
      <w:r>
        <w:rPr>
          <w:rFonts w:hint="eastAsia" w:ascii="宋体" w:hAnsi="宋体"/>
          <w:sz w:val="24"/>
        </w:rPr>
        <w:t>2.1  技术参数和要求见附件。</w:t>
      </w:r>
    </w:p>
    <w:p>
      <w:pPr>
        <w:snapToGrid w:val="0"/>
        <w:spacing w:line="440" w:lineRule="exact"/>
        <w:ind w:firstLine="480" w:firstLineChars="200"/>
        <w:rPr>
          <w:rFonts w:ascii="宋体"/>
          <w:sz w:val="24"/>
        </w:rPr>
      </w:pPr>
      <w:r>
        <w:rPr>
          <w:rFonts w:hint="eastAsia" w:ascii="宋体" w:hAnsi="宋体"/>
          <w:sz w:val="24"/>
        </w:rPr>
        <w:t>2.2  乙方保证向甲方销售的软件产品符合采购文件中的全部规定要求，采购文件中没有规定的应不低于国家或行业相关标准；</w:t>
      </w:r>
    </w:p>
    <w:p>
      <w:pPr>
        <w:snapToGrid w:val="0"/>
        <w:spacing w:line="440" w:lineRule="exact"/>
        <w:ind w:firstLine="480" w:firstLineChars="200"/>
        <w:rPr>
          <w:rFonts w:ascii="宋体" w:hAnsi="宋体"/>
          <w:sz w:val="24"/>
        </w:rPr>
      </w:pPr>
      <w:r>
        <w:rPr>
          <w:rFonts w:hint="eastAsia" w:ascii="宋体" w:hAnsi="宋体"/>
          <w:sz w:val="24"/>
        </w:rPr>
        <w:t>2.3  乙方保证软件功能与其所提供的说明材料内容完全相符。</w:t>
      </w:r>
    </w:p>
    <w:p>
      <w:pPr>
        <w:snapToGrid w:val="0"/>
        <w:spacing w:line="440" w:lineRule="exact"/>
        <w:ind w:firstLine="480" w:firstLineChars="200"/>
        <w:rPr>
          <w:rFonts w:ascii="宋体"/>
          <w:sz w:val="24"/>
        </w:rPr>
      </w:pPr>
      <w:permStart w:id="6" w:edGrp="everyone"/>
      <w:r>
        <w:rPr>
          <w:rFonts w:ascii="宋体" w:hAnsi="宋体"/>
          <w:sz w:val="24"/>
          <w:highlight w:val="yellow"/>
        </w:rPr>
        <w:t xml:space="preserve">2.4  </w:t>
      </w:r>
      <w:r>
        <w:rPr>
          <w:rFonts w:hint="eastAsia" w:ascii="宋体" w:hAnsi="宋体"/>
          <w:sz w:val="24"/>
          <w:highlight w:val="yellow"/>
        </w:rPr>
        <w:t>……………</w:t>
      </w:r>
    </w:p>
    <w:permEnd w:id="6"/>
    <w:p>
      <w:pPr>
        <w:snapToGrid w:val="0"/>
        <w:spacing w:line="440" w:lineRule="exact"/>
        <w:ind w:firstLine="482" w:firstLineChars="200"/>
        <w:rPr>
          <w:rFonts w:ascii="宋体"/>
          <w:b/>
          <w:sz w:val="24"/>
        </w:rPr>
      </w:pPr>
      <w:r>
        <w:rPr>
          <w:rFonts w:hint="eastAsia" w:ascii="宋体" w:hAnsi="宋体"/>
          <w:b/>
          <w:sz w:val="24"/>
        </w:rPr>
        <w:t>第三条合同价款</w:t>
      </w:r>
    </w:p>
    <w:p>
      <w:pPr>
        <w:snapToGrid w:val="0"/>
        <w:spacing w:line="440" w:lineRule="exact"/>
        <w:ind w:firstLine="480" w:firstLineChars="200"/>
        <w:rPr>
          <w:rFonts w:ascii="宋体"/>
          <w:sz w:val="24"/>
        </w:rPr>
      </w:pPr>
      <w:r>
        <w:rPr>
          <w:rFonts w:hint="eastAsia" w:ascii="宋体" w:hAnsi="宋体"/>
          <w:sz w:val="24"/>
        </w:rPr>
        <w:t>3.1 本合同总价款为人民币（大写</w:t>
      </w:r>
      <w:permStart w:id="7" w:edGrp="everyone"/>
      <w:r>
        <w:rPr>
          <w:rFonts w:hint="eastAsia" w:ascii="宋体" w:hAnsi="宋体"/>
          <w:sz w:val="24"/>
          <w:u w:val="single"/>
        </w:rPr>
        <w:t xml:space="preserve">         </w:t>
      </w:r>
      <w:permEnd w:id="7"/>
      <w:r>
        <w:rPr>
          <w:rFonts w:ascii="宋体" w:hAnsi="宋体"/>
          <w:sz w:val="24"/>
          <w:u w:val="single"/>
        </w:rPr>
        <w:t>元整</w:t>
      </w:r>
      <w:r>
        <w:rPr>
          <w:rFonts w:hint="eastAsia" w:ascii="宋体" w:hAnsi="宋体"/>
          <w:sz w:val="24"/>
        </w:rPr>
        <w:t>）（小写</w:t>
      </w:r>
      <w:permStart w:id="8" w:edGrp="everyone"/>
      <w:r>
        <w:rPr>
          <w:rFonts w:hint="eastAsia" w:ascii="宋体" w:hAnsi="宋体"/>
          <w:sz w:val="24"/>
          <w:u w:val="single"/>
        </w:rPr>
        <w:t xml:space="preserve">    </w:t>
      </w:r>
      <w:permEnd w:id="8"/>
      <w:r>
        <w:rPr>
          <w:rFonts w:hint="eastAsia" w:ascii="宋体" w:hAnsi="宋体"/>
          <w:sz w:val="24"/>
        </w:rPr>
        <w:t>￥）。</w:t>
      </w:r>
    </w:p>
    <w:p>
      <w:pPr>
        <w:snapToGrid w:val="0"/>
        <w:spacing w:line="440" w:lineRule="exact"/>
        <w:ind w:firstLine="480" w:firstLineChars="200"/>
        <w:rPr>
          <w:rFonts w:ascii="宋体" w:hAnsi="宋体"/>
          <w:sz w:val="24"/>
        </w:rPr>
      </w:pPr>
      <w:r>
        <w:rPr>
          <w:rFonts w:hint="eastAsia" w:ascii="宋体" w:hAnsi="宋体"/>
          <w:sz w:val="24"/>
        </w:rPr>
        <w:t>3.2 上述合同总价已包括乙方按本合同规定向甲方出售软件合同项目的一切费用，包括合同软件设计、调试、安装、培训</w:t>
      </w:r>
      <w:r>
        <w:rPr>
          <w:rFonts w:ascii="宋体" w:hAnsi="宋体"/>
          <w:sz w:val="24"/>
        </w:rPr>
        <w:t>、</w:t>
      </w:r>
      <w:r>
        <w:rPr>
          <w:rFonts w:hint="eastAsia" w:ascii="宋体" w:hAnsi="宋体"/>
          <w:sz w:val="24"/>
        </w:rPr>
        <w:t>验收、税收、售后服务及对应的技术资料等费用。</w:t>
      </w:r>
    </w:p>
    <w:p>
      <w:pPr>
        <w:snapToGrid w:val="0"/>
        <w:spacing w:line="440" w:lineRule="exact"/>
        <w:ind w:firstLine="480" w:firstLineChars="200"/>
        <w:rPr>
          <w:rFonts w:ascii="宋体"/>
          <w:sz w:val="24"/>
        </w:rPr>
      </w:pPr>
      <w:permStart w:id="9" w:edGrp="everyone"/>
      <w:r>
        <w:rPr>
          <w:rFonts w:ascii="宋体" w:hAnsi="宋体"/>
          <w:sz w:val="24"/>
          <w:highlight w:val="yellow"/>
        </w:rPr>
        <w:t xml:space="preserve">3.3  </w:t>
      </w:r>
      <w:r>
        <w:rPr>
          <w:rFonts w:hint="eastAsia" w:ascii="宋体" w:hAnsi="宋体"/>
          <w:sz w:val="24"/>
          <w:highlight w:val="yellow"/>
        </w:rPr>
        <w:t>……………</w:t>
      </w:r>
    </w:p>
    <w:permEnd w:id="9"/>
    <w:p>
      <w:pPr>
        <w:snapToGrid w:val="0"/>
        <w:spacing w:line="440" w:lineRule="exact"/>
        <w:ind w:firstLine="482" w:firstLineChars="200"/>
        <w:rPr>
          <w:rFonts w:ascii="宋体"/>
          <w:b/>
          <w:bCs/>
          <w:sz w:val="24"/>
        </w:rPr>
      </w:pPr>
      <w:r>
        <w:rPr>
          <w:rFonts w:hint="eastAsia" w:ascii="宋体" w:hAnsi="宋体"/>
          <w:b/>
          <w:bCs/>
          <w:sz w:val="24"/>
        </w:rPr>
        <w:t>第四条  货物交付</w:t>
      </w:r>
    </w:p>
    <w:p>
      <w:pPr>
        <w:snapToGrid w:val="0"/>
        <w:spacing w:line="440" w:lineRule="exact"/>
        <w:ind w:firstLine="480" w:firstLineChars="200"/>
        <w:rPr>
          <w:rFonts w:ascii="宋体"/>
          <w:sz w:val="24"/>
        </w:rPr>
      </w:pPr>
      <w:r>
        <w:rPr>
          <w:rFonts w:hint="eastAsia" w:ascii="宋体" w:hAnsi="宋体"/>
          <w:sz w:val="24"/>
        </w:rPr>
        <w:t>4.1  乙方保证软件在合同签订后在</w:t>
      </w:r>
      <w:permStart w:id="10" w:edGrp="everyone"/>
      <w:r>
        <w:rPr>
          <w:rFonts w:hint="eastAsia" w:ascii="宋体" w:hAnsi="宋体"/>
          <w:sz w:val="24"/>
        </w:rPr>
        <w:t xml:space="preserve">   </w:t>
      </w:r>
      <w:permEnd w:id="10"/>
      <w:r>
        <w:rPr>
          <w:rFonts w:hint="eastAsia" w:ascii="宋体" w:hAnsi="宋体"/>
          <w:sz w:val="24"/>
        </w:rPr>
        <w:t>年</w:t>
      </w:r>
      <w:permStart w:id="11" w:edGrp="everyone"/>
      <w:r>
        <w:rPr>
          <w:rFonts w:hint="eastAsia" w:ascii="宋体" w:hAnsi="宋体"/>
          <w:sz w:val="24"/>
        </w:rPr>
        <w:t xml:space="preserve">   </w:t>
      </w:r>
      <w:permEnd w:id="11"/>
      <w:r>
        <w:rPr>
          <w:rFonts w:hint="eastAsia" w:ascii="宋体" w:hAnsi="宋体"/>
          <w:sz w:val="24"/>
        </w:rPr>
        <w:t>月</w:t>
      </w:r>
      <w:permStart w:id="12" w:edGrp="everyone"/>
      <w:r>
        <w:rPr>
          <w:rFonts w:hint="eastAsia" w:ascii="宋体" w:hAnsi="宋体"/>
          <w:sz w:val="24"/>
        </w:rPr>
        <w:t xml:space="preserve">   </w:t>
      </w:r>
      <w:permEnd w:id="12"/>
      <w:r>
        <w:rPr>
          <w:rFonts w:hint="eastAsia" w:ascii="宋体" w:hAnsi="宋体"/>
          <w:sz w:val="24"/>
        </w:rPr>
        <w:t>日前交付、调试并投入实际使用。</w:t>
      </w:r>
    </w:p>
    <w:p>
      <w:pPr>
        <w:snapToGrid w:val="0"/>
        <w:spacing w:line="440" w:lineRule="exact"/>
        <w:ind w:firstLine="480" w:firstLineChars="200"/>
        <w:rPr>
          <w:rFonts w:ascii="宋体" w:hAnsi="宋体"/>
          <w:sz w:val="24"/>
        </w:rPr>
      </w:pPr>
      <w:r>
        <w:rPr>
          <w:rFonts w:hint="eastAsia" w:ascii="宋体" w:hAnsi="宋体"/>
          <w:sz w:val="24"/>
        </w:rPr>
        <w:t>4.2  甲方需提供乙方系统所需</w:t>
      </w:r>
      <w:r>
        <w:rPr>
          <w:rFonts w:ascii="宋体" w:hAnsi="宋体"/>
          <w:sz w:val="24"/>
        </w:rPr>
        <w:t>的硬件环境</w:t>
      </w:r>
      <w:r>
        <w:rPr>
          <w:rFonts w:hint="eastAsia" w:ascii="宋体" w:hAnsi="宋体"/>
          <w:sz w:val="24"/>
        </w:rPr>
        <w:t>，配合乙方</w:t>
      </w:r>
      <w:r>
        <w:rPr>
          <w:rFonts w:ascii="宋体" w:hAnsi="宋体"/>
          <w:sz w:val="24"/>
        </w:rPr>
        <w:t>做好系统</w:t>
      </w:r>
      <w:r>
        <w:rPr>
          <w:rFonts w:hint="eastAsia" w:ascii="宋体" w:hAnsi="宋体"/>
          <w:sz w:val="24"/>
        </w:rPr>
        <w:t>流程设计</w:t>
      </w:r>
      <w:r>
        <w:rPr>
          <w:rFonts w:ascii="宋体" w:hAnsi="宋体"/>
          <w:sz w:val="24"/>
        </w:rPr>
        <w:t>及</w:t>
      </w:r>
      <w:r>
        <w:rPr>
          <w:rFonts w:hint="eastAsia" w:ascii="宋体" w:hAnsi="宋体"/>
          <w:sz w:val="24"/>
        </w:rPr>
        <w:t>其他</w:t>
      </w:r>
      <w:r>
        <w:rPr>
          <w:rFonts w:ascii="宋体" w:hAnsi="宋体"/>
          <w:sz w:val="24"/>
        </w:rPr>
        <w:t>调研工作，</w:t>
      </w:r>
      <w:r>
        <w:rPr>
          <w:rFonts w:hint="eastAsia" w:ascii="宋体" w:hAnsi="宋体"/>
          <w:sz w:val="24"/>
        </w:rPr>
        <w:t>配合</w:t>
      </w:r>
      <w:r>
        <w:rPr>
          <w:rFonts w:ascii="宋体" w:hAnsi="宋体"/>
          <w:sz w:val="24"/>
        </w:rPr>
        <w:t>乙方</w:t>
      </w:r>
      <w:r>
        <w:rPr>
          <w:rFonts w:hint="eastAsia" w:ascii="宋体" w:hAnsi="宋体"/>
          <w:sz w:val="24"/>
        </w:rPr>
        <w:t>组织应用人员进行系统使用与验收工作。</w:t>
      </w:r>
    </w:p>
    <w:p>
      <w:pPr>
        <w:snapToGrid w:val="0"/>
        <w:spacing w:line="440" w:lineRule="exact"/>
        <w:ind w:firstLine="480" w:firstLineChars="200"/>
        <w:rPr>
          <w:rFonts w:ascii="宋体" w:hAnsi="宋体"/>
          <w:sz w:val="24"/>
        </w:rPr>
      </w:pPr>
      <w:r>
        <w:rPr>
          <w:rFonts w:hint="eastAsia" w:ascii="宋体" w:hAnsi="宋体"/>
          <w:sz w:val="24"/>
        </w:rPr>
        <w:t>4.3 如</w:t>
      </w:r>
      <w:r>
        <w:rPr>
          <w:rFonts w:ascii="宋体" w:hAnsi="宋体"/>
          <w:sz w:val="24"/>
        </w:rPr>
        <w:t>软件需定制开发，乙方需与甲方协商</w:t>
      </w:r>
      <w:r>
        <w:rPr>
          <w:rFonts w:hint="eastAsia" w:ascii="宋体" w:hAnsi="宋体"/>
          <w:sz w:val="24"/>
        </w:rPr>
        <w:t>，</w:t>
      </w:r>
      <w:r>
        <w:rPr>
          <w:rFonts w:ascii="宋体" w:hAnsi="宋体"/>
          <w:sz w:val="24"/>
        </w:rPr>
        <w:t>共同拟定项目日程表，双方签字确认，</w:t>
      </w:r>
      <w:r>
        <w:rPr>
          <w:rFonts w:hint="eastAsia" w:ascii="宋体" w:hAnsi="宋体"/>
          <w:sz w:val="24"/>
        </w:rPr>
        <w:t>并</w:t>
      </w:r>
      <w:r>
        <w:rPr>
          <w:rFonts w:ascii="宋体" w:hAnsi="宋体"/>
          <w:sz w:val="24"/>
        </w:rPr>
        <w:t>按时间节点做</w:t>
      </w:r>
      <w:r>
        <w:rPr>
          <w:rFonts w:hint="eastAsia" w:ascii="宋体" w:hAnsi="宋体"/>
          <w:sz w:val="24"/>
        </w:rPr>
        <w:t>详细</w:t>
      </w:r>
      <w:r>
        <w:rPr>
          <w:rFonts w:ascii="宋体" w:hAnsi="宋体"/>
          <w:sz w:val="24"/>
        </w:rPr>
        <w:t>说明</w:t>
      </w:r>
      <w:r>
        <w:rPr>
          <w:rFonts w:hint="eastAsia" w:ascii="宋体" w:hAnsi="宋体"/>
          <w:sz w:val="24"/>
        </w:rPr>
        <w:t>，</w:t>
      </w:r>
      <w:r>
        <w:rPr>
          <w:rFonts w:ascii="宋体" w:hAnsi="宋体"/>
          <w:sz w:val="24"/>
        </w:rPr>
        <w:t>详见</w:t>
      </w:r>
      <w:r>
        <w:rPr>
          <w:rFonts w:hint="eastAsia" w:ascii="宋体" w:hAnsi="宋体"/>
          <w:sz w:val="24"/>
        </w:rPr>
        <w:t>本合同</w:t>
      </w:r>
      <w:r>
        <w:rPr>
          <w:rFonts w:ascii="宋体" w:hAnsi="宋体"/>
          <w:sz w:val="24"/>
        </w:rPr>
        <w:t>附件</w:t>
      </w:r>
      <w:r>
        <w:rPr>
          <w:rFonts w:hint="eastAsia" w:ascii="宋体" w:hAnsi="宋体"/>
          <w:sz w:val="24"/>
        </w:rPr>
        <w:t>二。</w:t>
      </w:r>
    </w:p>
    <w:p>
      <w:pPr>
        <w:snapToGrid w:val="0"/>
        <w:spacing w:line="440" w:lineRule="exact"/>
        <w:ind w:firstLine="480" w:firstLineChars="200"/>
        <w:rPr>
          <w:rFonts w:ascii="宋体"/>
          <w:sz w:val="24"/>
        </w:rPr>
      </w:pPr>
      <w:permStart w:id="13" w:edGrp="everyone"/>
      <w:r>
        <w:rPr>
          <w:rFonts w:ascii="宋体" w:hAnsi="宋体"/>
          <w:sz w:val="24"/>
          <w:highlight w:val="yellow"/>
        </w:rPr>
        <w:t xml:space="preserve">4.4  </w:t>
      </w:r>
      <w:r>
        <w:rPr>
          <w:rFonts w:hint="eastAsia" w:ascii="宋体" w:hAnsi="宋体"/>
          <w:sz w:val="24"/>
          <w:highlight w:val="yellow"/>
        </w:rPr>
        <w:t>……………</w:t>
      </w:r>
    </w:p>
    <w:permEnd w:id="13"/>
    <w:p>
      <w:pPr>
        <w:snapToGrid w:val="0"/>
        <w:spacing w:line="440" w:lineRule="exact"/>
        <w:ind w:firstLine="482" w:firstLineChars="200"/>
        <w:rPr>
          <w:rFonts w:ascii="宋体"/>
          <w:b/>
          <w:bCs/>
          <w:sz w:val="24"/>
        </w:rPr>
      </w:pPr>
      <w:r>
        <w:rPr>
          <w:rFonts w:hint="eastAsia" w:ascii="宋体" w:hAnsi="宋体"/>
          <w:b/>
          <w:bCs/>
          <w:sz w:val="24"/>
        </w:rPr>
        <w:t>第五条 货物验收</w:t>
      </w:r>
    </w:p>
    <w:p>
      <w:pPr>
        <w:snapToGrid w:val="0"/>
        <w:spacing w:line="440" w:lineRule="exact"/>
        <w:ind w:firstLine="480" w:firstLineChars="200"/>
        <w:rPr>
          <w:rFonts w:ascii="宋体"/>
          <w:sz w:val="24"/>
        </w:rPr>
      </w:pPr>
      <w:r>
        <w:rPr>
          <w:rFonts w:hint="eastAsia" w:ascii="宋体" w:hAnsi="宋体"/>
          <w:sz w:val="24"/>
        </w:rPr>
        <w:t>5.1  乙方负责软件设计、安装、调试，培训</w:t>
      </w:r>
      <w:r>
        <w:rPr>
          <w:rFonts w:ascii="宋体" w:hAnsi="宋体"/>
          <w:sz w:val="24"/>
        </w:rPr>
        <w:t>，</w:t>
      </w:r>
      <w:r>
        <w:rPr>
          <w:rFonts w:hint="eastAsia" w:ascii="宋体" w:hAnsi="宋体"/>
          <w:sz w:val="24"/>
        </w:rPr>
        <w:t>由甲方按照采购文件</w:t>
      </w:r>
      <w:permStart w:id="14" w:edGrp="everyone"/>
      <w:r>
        <w:rPr>
          <w:rFonts w:hint="eastAsia" w:ascii="宋体" w:hAnsi="宋体"/>
          <w:sz w:val="24"/>
          <w:highlight w:val="yellow"/>
        </w:rPr>
        <w:t>及</w:t>
      </w:r>
      <w:r>
        <w:rPr>
          <w:rFonts w:hint="eastAsia" w:ascii="宋体" w:hAnsi="宋体"/>
          <w:b/>
          <w:sz w:val="24"/>
          <w:highlight w:val="yellow"/>
        </w:rPr>
        <w:t>甲方《南昌大学信息化建设项目验收评估实施细则》</w:t>
      </w:r>
      <w:permEnd w:id="14"/>
      <w:r>
        <w:rPr>
          <w:rFonts w:hint="eastAsia" w:ascii="宋体" w:hAnsi="宋体"/>
          <w:sz w:val="24"/>
        </w:rPr>
        <w:t>的要求进行软件验收，并签署验收意见。对验收不合格的，乙方应按约定</w:t>
      </w:r>
      <w:permStart w:id="15" w:edGrp="everyone"/>
      <w:r>
        <w:rPr>
          <w:rFonts w:hint="eastAsia" w:ascii="宋体" w:hAnsi="宋体"/>
          <w:sz w:val="24"/>
          <w:highlight w:val="yellow"/>
        </w:rPr>
        <w:t>十五日</w:t>
      </w:r>
      <w:permEnd w:id="15"/>
      <w:r>
        <w:rPr>
          <w:rFonts w:hint="eastAsia" w:ascii="宋体" w:hAnsi="宋体"/>
          <w:sz w:val="24"/>
        </w:rPr>
        <w:t>内进行处理、完善至验收合格，并承担为此而支出的实际费用。</w:t>
      </w:r>
    </w:p>
    <w:p>
      <w:pPr>
        <w:snapToGrid w:val="0"/>
        <w:spacing w:line="440" w:lineRule="exact"/>
        <w:ind w:firstLine="480" w:firstLineChars="200"/>
        <w:rPr>
          <w:rFonts w:ascii="宋体"/>
          <w:sz w:val="24"/>
        </w:rPr>
      </w:pPr>
      <w:r>
        <w:rPr>
          <w:rFonts w:hint="eastAsia" w:ascii="宋体" w:hAnsi="宋体"/>
          <w:sz w:val="24"/>
        </w:rPr>
        <w:t>5.2  软件验收后，甲方如发现存在潜在的应用问题，应以书面形式在质量保证期内向乙方提出异议，乙方应当在收到异议后的十日内予以书面答复（十日内不书面答复的视为乙方同意甲方异议）。经确认存在应用问题且属于修改范畴的，乙方应及时给与免费修改，并由甲方重新组织验收。</w:t>
      </w:r>
    </w:p>
    <w:p>
      <w:pPr>
        <w:snapToGrid w:val="0"/>
        <w:spacing w:line="440" w:lineRule="exact"/>
        <w:ind w:firstLine="480" w:firstLineChars="200"/>
        <w:rPr>
          <w:rFonts w:ascii="宋体" w:hAnsi="宋体"/>
          <w:sz w:val="24"/>
        </w:rPr>
      </w:pPr>
      <w:r>
        <w:rPr>
          <w:rFonts w:hint="eastAsia" w:ascii="宋体" w:hAnsi="宋体"/>
          <w:sz w:val="24"/>
        </w:rPr>
        <w:t>5.3  软件未经甲方验收前，或是在乙方技术人员设计、安装、调试中发生的软件及部件的毁损、灭失的风险，其责任由乙方承担。</w:t>
      </w:r>
    </w:p>
    <w:p>
      <w:pPr>
        <w:snapToGrid w:val="0"/>
        <w:spacing w:line="440" w:lineRule="exact"/>
        <w:ind w:firstLine="480" w:firstLineChars="200"/>
        <w:rPr>
          <w:rFonts w:ascii="宋体"/>
          <w:sz w:val="24"/>
        </w:rPr>
      </w:pPr>
      <w:permStart w:id="16" w:edGrp="everyone"/>
      <w:r>
        <w:rPr>
          <w:rFonts w:ascii="宋体" w:hAnsi="宋体"/>
          <w:sz w:val="24"/>
          <w:highlight w:val="yellow"/>
        </w:rPr>
        <w:t xml:space="preserve">5.4  </w:t>
      </w:r>
      <w:r>
        <w:rPr>
          <w:rFonts w:hint="eastAsia" w:ascii="宋体" w:hAnsi="宋体"/>
          <w:sz w:val="24"/>
          <w:highlight w:val="yellow"/>
        </w:rPr>
        <w:t>……………</w:t>
      </w:r>
    </w:p>
    <w:permEnd w:id="16"/>
    <w:p>
      <w:pPr>
        <w:snapToGrid w:val="0"/>
        <w:spacing w:line="440" w:lineRule="exact"/>
        <w:ind w:firstLine="482" w:firstLineChars="200"/>
        <w:rPr>
          <w:rFonts w:ascii="宋体"/>
          <w:sz w:val="24"/>
        </w:rPr>
      </w:pPr>
      <w:r>
        <w:rPr>
          <w:rFonts w:hint="eastAsia" w:ascii="宋体" w:hAnsi="宋体"/>
          <w:b/>
          <w:bCs/>
          <w:sz w:val="24"/>
        </w:rPr>
        <w:t>第六条 货款结算</w:t>
      </w:r>
    </w:p>
    <w:p>
      <w:pPr>
        <w:snapToGrid w:val="0"/>
        <w:spacing w:line="440" w:lineRule="exact"/>
        <w:ind w:firstLine="480" w:firstLineChars="200"/>
        <w:rPr>
          <w:rFonts w:ascii="宋体"/>
          <w:sz w:val="24"/>
        </w:rPr>
      </w:pPr>
      <w:r>
        <w:rPr>
          <w:rFonts w:ascii="宋体" w:hAnsi="宋体"/>
          <w:sz w:val="24"/>
        </w:rPr>
        <w:t>6.1　合同签订前，乙方应以银行转账方式向甲方支付合同总价款百分之五（5%）的履约保证金，</w:t>
      </w:r>
      <w:r>
        <w:rPr>
          <w:rFonts w:hint="eastAsia" w:ascii="宋体" w:hAnsi="宋体"/>
          <w:sz w:val="24"/>
        </w:rPr>
        <w:t>计人民币（大写</w:t>
      </w:r>
      <w:permStart w:id="17" w:edGrp="everyone"/>
      <w:r>
        <w:rPr>
          <w:rFonts w:hint="eastAsia" w:ascii="宋体" w:hAnsi="宋体"/>
          <w:sz w:val="24"/>
          <w:u w:val="single"/>
        </w:rPr>
        <w:t xml:space="preserve">     </w:t>
      </w:r>
      <w:permEnd w:id="17"/>
      <w:r>
        <w:rPr>
          <w:rFonts w:hint="eastAsia" w:ascii="宋体" w:hAnsi="宋体"/>
          <w:sz w:val="24"/>
          <w:u w:val="single"/>
        </w:rPr>
        <w:t>元整</w:t>
      </w:r>
      <w:r>
        <w:rPr>
          <w:rFonts w:hint="eastAsia" w:ascii="宋体" w:hAnsi="宋体"/>
          <w:sz w:val="24"/>
        </w:rPr>
        <w:t>）（小写</w:t>
      </w:r>
      <w:permStart w:id="18" w:edGrp="everyone"/>
      <w:r>
        <w:rPr>
          <w:rFonts w:hint="eastAsia" w:ascii="宋体" w:hAnsi="宋体"/>
          <w:sz w:val="24"/>
          <w:u w:val="single"/>
        </w:rPr>
        <w:t xml:space="preserve">       </w:t>
      </w:r>
      <w:permEnd w:id="18"/>
      <w:r>
        <w:rPr>
          <w:rFonts w:hint="eastAsia" w:ascii="宋体" w:hAnsi="宋体"/>
          <w:sz w:val="24"/>
        </w:rPr>
        <w:t>￥）。</w:t>
      </w:r>
      <w:ins w:id="3" w:author="李艳" w:date="2022-03-03T15:53:00Z">
        <w:r>
          <w:rPr>
            <w:rFonts w:hint="eastAsia" w:ascii="宋体" w:hAnsi="宋体"/>
            <w:sz w:val="24"/>
          </w:rPr>
          <w:t>合同</w:t>
        </w:r>
      </w:ins>
      <w:ins w:id="4" w:author="李艳" w:date="2022-03-03T15:53:00Z">
        <w:r>
          <w:rPr>
            <w:rFonts w:ascii="宋体" w:hAnsi="宋体"/>
            <w:sz w:val="24"/>
          </w:rPr>
          <w:t>履约完成</w:t>
        </w:r>
      </w:ins>
      <w:del w:id="5" w:author="李艳" w:date="2022-03-03T15:53:00Z">
        <w:r>
          <w:rPr>
            <w:rFonts w:hint="eastAsia" w:ascii="宋体" w:hAnsi="宋体"/>
            <w:sz w:val="24"/>
          </w:rPr>
          <w:delText>货物验收合格</w:delText>
        </w:r>
      </w:del>
      <w:r>
        <w:rPr>
          <w:rFonts w:ascii="宋体" w:hAnsi="宋体"/>
          <w:sz w:val="24"/>
        </w:rPr>
        <w:t>后</w:t>
      </w:r>
      <w:del w:id="6" w:author="李艳" w:date="2022-03-03T15:53:00Z">
        <w:r>
          <w:rPr>
            <w:rFonts w:ascii="宋体" w:hAnsi="宋体"/>
            <w:sz w:val="24"/>
          </w:rPr>
          <w:delText>履约保证金自动转为质量保证金。质保期满后，</w:delText>
        </w:r>
      </w:del>
      <w:r>
        <w:rPr>
          <w:rFonts w:ascii="宋体" w:hAnsi="宋体"/>
          <w:sz w:val="24"/>
        </w:rPr>
        <w:t>甲方一次性无息退还乙方支付的</w:t>
      </w:r>
      <w:del w:id="7" w:author="李艳" w:date="2022-03-03T15:55:00Z">
        <w:r>
          <w:rPr>
            <w:rFonts w:ascii="宋体" w:hAnsi="宋体"/>
            <w:sz w:val="24"/>
          </w:rPr>
          <w:delText>质量保证</w:delText>
        </w:r>
      </w:del>
      <w:ins w:id="8" w:author="李艳" w:date="2022-03-03T15:55:00Z">
        <w:r>
          <w:rPr>
            <w:rFonts w:hint="eastAsia" w:ascii="宋体" w:hAnsi="宋体"/>
            <w:sz w:val="24"/>
          </w:rPr>
          <w:t>履约</w:t>
        </w:r>
      </w:ins>
      <w:ins w:id="9" w:author="李艳" w:date="2022-03-03T15:55:00Z">
        <w:r>
          <w:rPr>
            <w:rFonts w:ascii="宋体" w:hAnsi="宋体"/>
            <w:sz w:val="24"/>
          </w:rPr>
          <w:t>保证</w:t>
        </w:r>
      </w:ins>
      <w:r>
        <w:rPr>
          <w:rFonts w:ascii="宋体" w:hAnsi="宋体"/>
          <w:sz w:val="24"/>
        </w:rPr>
        <w:t>金。</w:t>
      </w:r>
    </w:p>
    <w:p>
      <w:pPr>
        <w:spacing w:line="440" w:lineRule="exact"/>
        <w:ind w:firstLine="480" w:firstLineChars="200"/>
        <w:rPr>
          <w:rFonts w:ascii="宋体" w:hAnsi="宋体"/>
          <w:sz w:val="24"/>
        </w:rPr>
      </w:pPr>
      <w:r>
        <w:rPr>
          <w:rFonts w:ascii="宋体" w:hAnsi="宋体"/>
          <w:sz w:val="24"/>
        </w:rPr>
        <w:t xml:space="preserve">6.2  </w:t>
      </w:r>
      <w:r>
        <w:rPr>
          <w:rFonts w:hint="eastAsia" w:ascii="宋体" w:hAnsi="宋体"/>
          <w:sz w:val="24"/>
        </w:rPr>
        <w:t>甲方在软件安装调试、正常运行并验收合格后三十个工作日</w:t>
      </w:r>
      <w:r>
        <w:rPr>
          <w:rFonts w:hint="eastAsia" w:ascii="宋体" w:hAnsi="宋体"/>
          <w:color w:val="000000" w:themeColor="text1"/>
          <w:sz w:val="24"/>
        </w:rPr>
        <w:t>（正常财务工作日）</w:t>
      </w:r>
      <w:r>
        <w:rPr>
          <w:rFonts w:hint="eastAsia" w:ascii="宋体" w:hAnsi="宋体"/>
          <w:sz w:val="24"/>
        </w:rPr>
        <w:t>内，向乙方支付合同额百分之百（</w:t>
      </w:r>
      <w:r>
        <w:rPr>
          <w:rFonts w:ascii="宋体" w:hAnsi="宋体"/>
          <w:sz w:val="24"/>
        </w:rPr>
        <w:t>100%）的款项</w:t>
      </w:r>
      <w:r>
        <w:rPr>
          <w:rFonts w:hint="eastAsia" w:ascii="宋体" w:hAnsi="宋体"/>
          <w:sz w:val="24"/>
        </w:rPr>
        <w:t>。甲方付款前，乙方须开具合法、等额的发票，否则甲方有权拒绝付款并无需承担违约责任。</w:t>
      </w:r>
    </w:p>
    <w:p>
      <w:pPr>
        <w:spacing w:line="440" w:lineRule="exact"/>
        <w:ind w:firstLine="480" w:firstLineChars="200"/>
        <w:rPr>
          <w:rFonts w:ascii="楷体" w:hAnsi="楷体" w:eastAsia="楷体"/>
          <w:color w:val="FF0000"/>
          <w:sz w:val="24"/>
          <w:highlight w:val="yellow"/>
        </w:rPr>
      </w:pPr>
      <w:permStart w:id="19" w:edGrp="everyone"/>
      <w:r>
        <w:rPr>
          <w:rFonts w:hint="eastAsia" w:ascii="楷体" w:hAnsi="楷体" w:eastAsia="楷体"/>
          <w:color w:val="FF0000"/>
          <w:sz w:val="24"/>
          <w:highlight w:val="yellow"/>
        </w:rPr>
        <w:t>（具体付款方式，应按招标采购文件、供应商投标文件规定的内容填写，招标采购文件、供应商投标文件无规定的，由甲乙双方商议确定）。</w:t>
      </w:r>
    </w:p>
    <w:permEnd w:id="19"/>
    <w:p>
      <w:pPr>
        <w:spacing w:line="440" w:lineRule="exact"/>
        <w:ind w:firstLine="480" w:firstLineChars="200"/>
        <w:rPr>
          <w:rFonts w:ascii="宋体" w:hAnsi="宋体"/>
          <w:sz w:val="24"/>
        </w:rPr>
      </w:pPr>
      <w:r>
        <w:rPr>
          <w:rFonts w:hint="eastAsia" w:ascii="宋体" w:hAnsi="宋体"/>
          <w:sz w:val="24"/>
        </w:rPr>
        <w:t>6.3　款项结算方式：</w:t>
      </w:r>
      <w:permStart w:id="20" w:edGrp="everyone"/>
      <w:r>
        <w:rPr>
          <w:rFonts w:hint="eastAsia" w:ascii="宋体" w:hAnsi="宋体"/>
          <w:sz w:val="24"/>
        </w:rPr>
        <w:t xml:space="preserve">       </w:t>
      </w:r>
    </w:p>
    <w:p>
      <w:pPr>
        <w:snapToGrid w:val="0"/>
        <w:spacing w:line="440" w:lineRule="exact"/>
        <w:ind w:firstLine="480"/>
        <w:rPr>
          <w:rFonts w:ascii="宋体" w:hAnsi="宋体"/>
          <w:sz w:val="24"/>
        </w:rPr>
      </w:pPr>
      <w:r>
        <w:rPr>
          <w:rFonts w:ascii="宋体" w:hAnsi="宋体"/>
          <w:sz w:val="24"/>
          <w:highlight w:val="yellow"/>
        </w:rPr>
        <w:t xml:space="preserve">6.4 </w:t>
      </w:r>
      <w:r>
        <w:rPr>
          <w:rFonts w:hint="eastAsia" w:ascii="宋体" w:hAnsi="宋体"/>
          <w:sz w:val="24"/>
        </w:rPr>
        <w:t xml:space="preserve"> 付款前乙方应开具合法、等额的</w:t>
      </w:r>
      <w:r>
        <w:rPr>
          <w:rFonts w:hint="eastAsia" w:ascii="宋体" w:hAnsi="宋体"/>
          <w:b/>
          <w:sz w:val="24"/>
        </w:rPr>
        <w:t>增值税专用发票</w:t>
      </w:r>
      <w:r>
        <w:rPr>
          <w:rFonts w:hint="eastAsia" w:ascii="宋体" w:hAnsi="宋体"/>
          <w:sz w:val="24"/>
        </w:rPr>
        <w:t>，否则甲方有权拒绝付款并无需承担违约责任。</w:t>
      </w:r>
    </w:p>
    <w:permEnd w:id="20"/>
    <w:p>
      <w:pPr>
        <w:spacing w:line="440" w:lineRule="exact"/>
        <w:ind w:firstLine="482" w:firstLineChars="200"/>
        <w:rPr>
          <w:rFonts w:ascii="宋体" w:hAnsi="宋体"/>
          <w:b/>
          <w:sz w:val="24"/>
        </w:rPr>
      </w:pPr>
      <w:r>
        <w:rPr>
          <w:rFonts w:hint="eastAsia" w:ascii="宋体" w:hAnsi="宋体"/>
          <w:b/>
          <w:sz w:val="24"/>
        </w:rPr>
        <w:t>第七条合同解除</w:t>
      </w:r>
    </w:p>
    <w:p>
      <w:pPr>
        <w:spacing w:line="440" w:lineRule="exact"/>
        <w:ind w:firstLine="480" w:firstLineChars="200"/>
        <w:rPr>
          <w:rFonts w:ascii="宋体" w:hAnsi="宋体"/>
          <w:bCs/>
          <w:sz w:val="24"/>
        </w:rPr>
      </w:pPr>
      <w:r>
        <w:rPr>
          <w:rFonts w:hint="eastAsia" w:ascii="宋体" w:hAnsi="宋体"/>
          <w:bCs/>
          <w:sz w:val="24"/>
        </w:rPr>
        <w:t>7</w:t>
      </w:r>
      <w:r>
        <w:rPr>
          <w:rFonts w:ascii="宋体" w:hAnsi="宋体"/>
          <w:bCs/>
          <w:sz w:val="24"/>
        </w:rPr>
        <w:t>.1除具有《中华人民共和国政府采购法》第五十条第二款规定情形或者《中华人民共和国民法典》第五百六十二条、第五百六十三条规定情形及本合同约定的情形外，本合同一经签订，甲乙双方不得擅自解除合同。</w:t>
      </w:r>
    </w:p>
    <w:p>
      <w:pPr>
        <w:spacing w:line="440" w:lineRule="exact"/>
        <w:ind w:firstLine="480" w:firstLineChars="200"/>
        <w:rPr>
          <w:rFonts w:ascii="宋体" w:hAnsi="宋体"/>
          <w:bCs/>
          <w:sz w:val="24"/>
        </w:rPr>
      </w:pPr>
      <w:r>
        <w:rPr>
          <w:rFonts w:hint="eastAsia" w:ascii="宋体" w:hAnsi="宋体"/>
          <w:bCs/>
          <w:sz w:val="24"/>
        </w:rPr>
        <w:t>7</w:t>
      </w:r>
      <w:r>
        <w:rPr>
          <w:rFonts w:ascii="宋体" w:hAnsi="宋体"/>
          <w:bCs/>
          <w:sz w:val="24"/>
        </w:rPr>
        <w:t>.2乙方存在以下情形的，甲方有权解除合同:</w:t>
      </w:r>
    </w:p>
    <w:p>
      <w:pPr>
        <w:spacing w:line="440" w:lineRule="exact"/>
        <w:ind w:firstLine="480" w:firstLineChars="200"/>
        <w:rPr>
          <w:rFonts w:ascii="宋体" w:hAnsi="宋体"/>
          <w:bCs/>
          <w:sz w:val="24"/>
        </w:rPr>
      </w:pPr>
      <w:r>
        <w:rPr>
          <w:rFonts w:hint="eastAsia" w:ascii="宋体" w:hAnsi="宋体"/>
          <w:bCs/>
          <w:sz w:val="24"/>
        </w:rPr>
        <w:t>7</w:t>
      </w:r>
      <w:r>
        <w:rPr>
          <w:rFonts w:ascii="宋体" w:hAnsi="宋体"/>
          <w:bCs/>
          <w:sz w:val="24"/>
        </w:rPr>
        <w:t>.2.1</w:t>
      </w:r>
      <w:r>
        <w:rPr>
          <w:rFonts w:hint="eastAsia" w:ascii="宋体" w:hAnsi="宋体"/>
          <w:bCs/>
          <w:sz w:val="24"/>
        </w:rPr>
        <w:t>乙方货物的验收不合格，且</w:t>
      </w:r>
      <w:r>
        <w:rPr>
          <w:rFonts w:hint="eastAsia" w:ascii="宋体" w:hAnsi="宋体"/>
          <w:sz w:val="24"/>
        </w:rPr>
        <w:t>经甲方催告，乙方仍无法提供验收合格的货物的</w:t>
      </w:r>
      <w:r>
        <w:rPr>
          <w:rFonts w:hint="eastAsia" w:ascii="宋体" w:hAnsi="宋体"/>
          <w:bCs/>
          <w:sz w:val="24"/>
        </w:rPr>
        <w:t>；</w:t>
      </w:r>
    </w:p>
    <w:p>
      <w:pPr>
        <w:spacing w:line="440" w:lineRule="exact"/>
        <w:ind w:firstLine="480" w:firstLineChars="200"/>
        <w:rPr>
          <w:rFonts w:ascii="宋体" w:hAnsi="宋体"/>
          <w:bCs/>
          <w:sz w:val="24"/>
        </w:rPr>
      </w:pPr>
      <w:r>
        <w:rPr>
          <w:rFonts w:hint="eastAsia" w:ascii="宋体" w:hAnsi="宋体"/>
          <w:bCs/>
          <w:sz w:val="24"/>
        </w:rPr>
        <w:t>7</w:t>
      </w:r>
      <w:r>
        <w:rPr>
          <w:rFonts w:ascii="宋体" w:hAnsi="宋体"/>
          <w:bCs/>
          <w:sz w:val="24"/>
        </w:rPr>
        <w:t>.2.2</w:t>
      </w:r>
      <w:r>
        <w:rPr>
          <w:rFonts w:hint="eastAsia" w:ascii="宋体" w:hAnsi="宋体"/>
          <w:bCs/>
          <w:sz w:val="24"/>
        </w:rPr>
        <w:t>乙方逾期交付货物超过30日的；</w:t>
      </w:r>
    </w:p>
    <w:p>
      <w:pPr>
        <w:spacing w:line="440" w:lineRule="exact"/>
        <w:ind w:firstLine="480" w:firstLineChars="200"/>
        <w:rPr>
          <w:rFonts w:ascii="宋体" w:hAnsi="宋体"/>
          <w:bCs/>
          <w:sz w:val="24"/>
        </w:rPr>
      </w:pPr>
      <w:r>
        <w:rPr>
          <w:rFonts w:hint="eastAsia" w:ascii="宋体" w:hAnsi="宋体"/>
          <w:bCs/>
          <w:sz w:val="24"/>
        </w:rPr>
        <w:t>甲方根据上述情形主张解除合同的，应当书面通知乙方。</w:t>
      </w:r>
    </w:p>
    <w:p>
      <w:pPr>
        <w:snapToGrid w:val="0"/>
        <w:spacing w:line="440" w:lineRule="exact"/>
        <w:ind w:firstLine="480"/>
        <w:rPr>
          <w:rFonts w:ascii="宋体" w:hAnsi="宋体"/>
          <w:b/>
          <w:bCs/>
          <w:sz w:val="24"/>
        </w:rPr>
      </w:pPr>
    </w:p>
    <w:p>
      <w:pPr>
        <w:snapToGrid w:val="0"/>
        <w:spacing w:line="440" w:lineRule="exact"/>
        <w:ind w:firstLine="480"/>
        <w:rPr>
          <w:rFonts w:ascii="宋体"/>
          <w:b/>
          <w:bCs/>
          <w:sz w:val="24"/>
        </w:rPr>
      </w:pPr>
      <w:r>
        <w:rPr>
          <w:rFonts w:hint="eastAsia" w:ascii="宋体" w:hAnsi="宋体"/>
          <w:b/>
          <w:bCs/>
          <w:sz w:val="24"/>
        </w:rPr>
        <w:t>第八条  违约责任</w:t>
      </w:r>
    </w:p>
    <w:p>
      <w:pPr>
        <w:snapToGrid w:val="0"/>
        <w:spacing w:line="440" w:lineRule="exact"/>
        <w:ind w:firstLine="480" w:firstLineChars="200"/>
        <w:rPr>
          <w:rFonts w:ascii="宋体"/>
          <w:sz w:val="24"/>
        </w:rPr>
      </w:pPr>
      <w:r>
        <w:rPr>
          <w:rFonts w:hint="eastAsia" w:ascii="宋体" w:hAnsi="宋体"/>
          <w:sz w:val="24"/>
        </w:rPr>
        <w:t>8.1  乙方逾期交货时，每逾期一日，应按合同总价款的千分之六向甲方支付违约金；逾期交货十五日日，甲方有权单方解除本合同，乙方应赔偿甲方的全部损失并向甲方支付合同总价款百分之三十（30%）的违约金。违约金不足以赔偿甲方损失的，乙方应按照实际产生的损失赔偿甲方。</w:t>
      </w:r>
    </w:p>
    <w:p>
      <w:pPr>
        <w:snapToGrid w:val="0"/>
        <w:spacing w:line="440" w:lineRule="exact"/>
        <w:ind w:firstLine="480" w:firstLineChars="200"/>
        <w:rPr>
          <w:rFonts w:ascii="宋体"/>
          <w:sz w:val="24"/>
        </w:rPr>
      </w:pPr>
      <w:r>
        <w:rPr>
          <w:rFonts w:hint="eastAsia" w:ascii="宋体" w:hAnsi="宋体"/>
          <w:sz w:val="24"/>
        </w:rPr>
        <w:t>8.2  经验收发现软件不符合本合同要求的，或验收不合格且未如约更换、修改的，视为乙方未交货，乙方交付符合要求的软件之日确定为乙方实际交货日，同时按照逾期交货处理。</w:t>
      </w:r>
    </w:p>
    <w:p>
      <w:pPr>
        <w:snapToGrid w:val="0"/>
        <w:spacing w:line="440" w:lineRule="exact"/>
        <w:ind w:firstLine="480" w:firstLineChars="200"/>
        <w:rPr>
          <w:rFonts w:ascii="宋体"/>
          <w:sz w:val="24"/>
        </w:rPr>
      </w:pPr>
      <w:r>
        <w:rPr>
          <w:rFonts w:hint="eastAsia" w:ascii="宋体" w:hAnsi="宋体"/>
          <w:sz w:val="24"/>
        </w:rPr>
        <w:t>8.3  甲方无故逾期支付货款时，每逾期一日，应按合同总价款的万分之五（0.5‰）向乙方支付违约金，但非因甲方原因造成除外。</w:t>
      </w:r>
    </w:p>
    <w:p>
      <w:pPr>
        <w:spacing w:line="440" w:lineRule="exact"/>
        <w:ind w:firstLine="480" w:firstLineChars="200"/>
        <w:rPr>
          <w:rFonts w:ascii="宋体" w:hAnsi="宋体"/>
          <w:sz w:val="24"/>
        </w:rPr>
      </w:pPr>
      <w:permStart w:id="21" w:edGrp="everyone"/>
      <w:r>
        <w:rPr>
          <w:rFonts w:hint="eastAsia" w:ascii="宋体" w:hAnsi="宋体"/>
          <w:sz w:val="24"/>
          <w:highlight w:val="yellow"/>
        </w:rPr>
        <w:t>8</w:t>
      </w:r>
      <w:r>
        <w:rPr>
          <w:rFonts w:ascii="宋体" w:hAnsi="宋体"/>
          <w:sz w:val="24"/>
          <w:highlight w:val="yellow"/>
        </w:rPr>
        <w:t xml:space="preserve">.4  </w:t>
      </w:r>
      <w:r>
        <w:rPr>
          <w:rFonts w:hint="eastAsia" w:ascii="宋体" w:hAnsi="宋体"/>
          <w:sz w:val="24"/>
          <w:highlight w:val="yellow"/>
        </w:rPr>
        <w:t>……………</w:t>
      </w:r>
    </w:p>
    <w:permEnd w:id="21"/>
    <w:p>
      <w:pPr>
        <w:snapToGrid w:val="0"/>
        <w:spacing w:line="440" w:lineRule="exact"/>
        <w:rPr>
          <w:rFonts w:ascii="宋体"/>
          <w:b/>
          <w:bCs/>
          <w:sz w:val="24"/>
        </w:rPr>
      </w:pPr>
      <w:r>
        <w:rPr>
          <w:rFonts w:hint="eastAsia" w:ascii="宋体" w:hAnsi="宋体"/>
          <w:b/>
          <w:bCs/>
          <w:sz w:val="24"/>
        </w:rPr>
        <w:t xml:space="preserve">    第九条  售后服务</w:t>
      </w:r>
    </w:p>
    <w:p>
      <w:pPr>
        <w:spacing w:line="440" w:lineRule="exact"/>
        <w:ind w:firstLine="480" w:firstLineChars="200"/>
        <w:rPr>
          <w:rFonts w:ascii="宋体" w:hAnsi="宋体"/>
          <w:sz w:val="24"/>
        </w:rPr>
      </w:pPr>
      <w:r>
        <w:rPr>
          <w:rFonts w:hint="eastAsia" w:ascii="宋体" w:hAnsi="宋体"/>
          <w:sz w:val="24"/>
        </w:rPr>
        <w:t>9.1乙方必须保证该项目按采购文件及所签订合同的要求交货并安装调试，并承诺提供两年免费维保服务，售后服务期自验收合格之日开始计算。两年免费维保期间，服务内容包括：技术方案咨询、软件修正、软件修改调整、软件重新安装部署、软件修复、少量模块增加、日常操作及维护指导等（甲方、乙方可根据实际需要新增条款）。</w:t>
      </w:r>
    </w:p>
    <w:p>
      <w:pPr>
        <w:spacing w:line="440" w:lineRule="exact"/>
        <w:ind w:firstLine="480" w:firstLineChars="200"/>
        <w:rPr>
          <w:rFonts w:ascii="宋体"/>
          <w:sz w:val="24"/>
        </w:rPr>
      </w:pPr>
      <w:r>
        <w:rPr>
          <w:rFonts w:hint="eastAsia" w:ascii="宋体" w:hAnsi="宋体"/>
          <w:sz w:val="24"/>
        </w:rPr>
        <w:t>9.2软件运行出现故障时，乙方接到通知后两小时做出响应，二十四小时内免费给予技术支持或到达现场维修排除故障。软件在调试、运行过程中，甲方如根据实际工作情况需要增加或调整软件部分功能，乙方须根据甲方新需求做相应的程序设计与调整，以完善软件功能。</w:t>
      </w:r>
    </w:p>
    <w:p>
      <w:pPr>
        <w:spacing w:line="440" w:lineRule="exact"/>
        <w:ind w:firstLine="480" w:firstLineChars="200"/>
        <w:rPr>
          <w:rFonts w:ascii="宋体"/>
          <w:sz w:val="24"/>
        </w:rPr>
      </w:pPr>
      <w:r>
        <w:rPr>
          <w:rFonts w:hint="eastAsia" w:ascii="宋体" w:hAnsi="宋体"/>
          <w:sz w:val="24"/>
        </w:rPr>
        <w:t>9.3为保证项目实施的连续性，乙方须在项目实施前提供工程师名单，项目实施中途如确有特殊情况需要更换项目工程师的，必须经甲方书面同意。</w:t>
      </w:r>
    </w:p>
    <w:p>
      <w:pPr>
        <w:spacing w:line="440" w:lineRule="exact"/>
        <w:ind w:firstLine="480" w:firstLineChars="200"/>
        <w:rPr>
          <w:rFonts w:ascii="宋体" w:hAnsi="宋体"/>
          <w:sz w:val="24"/>
        </w:rPr>
      </w:pPr>
      <w:r>
        <w:rPr>
          <w:rFonts w:hint="eastAsia" w:ascii="宋体" w:hAnsi="宋体"/>
          <w:sz w:val="24"/>
        </w:rPr>
        <w:t>9.4为保证软件交付后的正常运行使用，乙方应负责对甲方技术人员进行免费培训，培训时间和培训地点与甲方协商确定。</w:t>
      </w:r>
    </w:p>
    <w:p>
      <w:pPr>
        <w:spacing w:line="440" w:lineRule="exact"/>
        <w:ind w:firstLine="480" w:firstLineChars="200"/>
        <w:rPr>
          <w:rFonts w:ascii="宋体" w:hAnsi="宋体"/>
          <w:sz w:val="24"/>
        </w:rPr>
      </w:pPr>
      <w:permStart w:id="22" w:edGrp="everyone"/>
      <w:r>
        <w:rPr>
          <w:rFonts w:ascii="宋体" w:hAnsi="宋体"/>
          <w:sz w:val="24"/>
          <w:highlight w:val="yellow"/>
        </w:rPr>
        <w:t xml:space="preserve">9.5  </w:t>
      </w:r>
      <w:r>
        <w:rPr>
          <w:rFonts w:hint="eastAsia" w:ascii="宋体" w:hAnsi="宋体"/>
          <w:sz w:val="24"/>
          <w:highlight w:val="yellow"/>
        </w:rPr>
        <w:t>……………</w:t>
      </w:r>
    </w:p>
    <w:permEnd w:id="22"/>
    <w:p>
      <w:pPr>
        <w:snapToGrid w:val="0"/>
        <w:spacing w:line="440" w:lineRule="exact"/>
        <w:ind w:firstLine="482" w:firstLineChars="200"/>
        <w:rPr>
          <w:rFonts w:ascii="宋体"/>
          <w:b/>
          <w:bCs/>
          <w:sz w:val="24"/>
        </w:rPr>
      </w:pPr>
      <w:r>
        <w:rPr>
          <w:rFonts w:hint="eastAsia" w:ascii="宋体" w:hAnsi="宋体"/>
          <w:b/>
          <w:bCs/>
          <w:sz w:val="24"/>
        </w:rPr>
        <w:t>第十条  不可抗力</w:t>
      </w:r>
    </w:p>
    <w:p>
      <w:pPr>
        <w:snapToGrid w:val="0"/>
        <w:spacing w:line="440" w:lineRule="exact"/>
        <w:ind w:firstLine="480" w:firstLineChars="200"/>
        <w:rPr>
          <w:rFonts w:ascii="宋体"/>
          <w:sz w:val="24"/>
        </w:rPr>
      </w:pPr>
      <w:r>
        <w:rPr>
          <w:rFonts w:hint="eastAsia" w:ascii="宋体" w:hAnsi="宋体"/>
          <w:sz w:val="24"/>
        </w:rPr>
        <w:t>10.1  不可抗力是指合同生效后，发生不能预见并且对发生和后果不能防止和避免的事件，致使直接影响本合同的履行或不能按约定的条件履行。</w:t>
      </w:r>
    </w:p>
    <w:p>
      <w:pPr>
        <w:snapToGrid w:val="0"/>
        <w:spacing w:line="440" w:lineRule="exact"/>
        <w:ind w:firstLine="480" w:firstLineChars="200"/>
        <w:rPr>
          <w:rFonts w:ascii="宋体" w:hAnsi="宋体"/>
          <w:sz w:val="24"/>
        </w:rPr>
      </w:pPr>
      <w:r>
        <w:rPr>
          <w:rFonts w:hint="eastAsia" w:ascii="宋体" w:hAnsi="宋体"/>
          <w:sz w:val="24"/>
        </w:rPr>
        <w:t>10.2  发生不可抗力一方应立即通知对方，并在十五日内提供不可抗力的详情及将有关证明文件送交对方。发生不可抗力事件时，双方应协商寻找合理的解决方法，并尽努力减轻不可抗力产生的后果。</w:t>
      </w:r>
    </w:p>
    <w:p>
      <w:pPr>
        <w:snapToGrid w:val="0"/>
        <w:spacing w:line="440" w:lineRule="exact"/>
        <w:ind w:firstLine="480" w:firstLineChars="200"/>
        <w:rPr>
          <w:rFonts w:ascii="宋体" w:hAnsi="宋体"/>
          <w:sz w:val="24"/>
        </w:rPr>
      </w:pPr>
      <w:r>
        <w:rPr>
          <w:rFonts w:hint="eastAsia" w:ascii="宋体" w:hAnsi="宋体"/>
          <w:sz w:val="24"/>
        </w:rPr>
        <w:t>10.3　如果不可抗力事件的影响持续时间达二十日或以上时，双方应根据该事件对本合同履行的影响程度协商对本合同的修改或终止。如在一方发出协商书面通知之日起七日内双方无法就此达成一致，任何一方均有权解除本合同而无需承担违约责任。</w:t>
      </w:r>
    </w:p>
    <w:p>
      <w:pPr>
        <w:spacing w:line="440" w:lineRule="exact"/>
        <w:ind w:firstLine="480" w:firstLineChars="200"/>
        <w:rPr>
          <w:rFonts w:ascii="宋体" w:hAnsi="宋体"/>
          <w:sz w:val="24"/>
        </w:rPr>
      </w:pPr>
      <w:permStart w:id="23" w:edGrp="everyone"/>
      <w:r>
        <w:rPr>
          <w:rFonts w:ascii="宋体" w:hAnsi="宋体"/>
          <w:sz w:val="24"/>
          <w:highlight w:val="yellow"/>
        </w:rPr>
        <w:t>10.4　……………</w:t>
      </w:r>
    </w:p>
    <w:permEnd w:id="23"/>
    <w:p>
      <w:pPr>
        <w:snapToGrid w:val="0"/>
        <w:spacing w:line="440" w:lineRule="exact"/>
        <w:rPr>
          <w:rFonts w:ascii="宋体"/>
          <w:b/>
          <w:bCs/>
          <w:sz w:val="24"/>
        </w:rPr>
      </w:pPr>
      <w:r>
        <w:rPr>
          <w:rFonts w:hint="eastAsia" w:ascii="宋体" w:hAnsi="宋体"/>
          <w:b/>
          <w:bCs/>
          <w:sz w:val="24"/>
        </w:rPr>
        <w:t xml:space="preserve">   第十一条  保密条款</w:t>
      </w:r>
    </w:p>
    <w:p>
      <w:pPr>
        <w:snapToGrid w:val="0"/>
        <w:spacing w:line="440" w:lineRule="exact"/>
        <w:ind w:firstLine="480" w:firstLineChars="200"/>
        <w:rPr>
          <w:rFonts w:ascii="宋体" w:hAnsi="宋体"/>
          <w:sz w:val="24"/>
        </w:rPr>
      </w:pPr>
      <w:r>
        <w:rPr>
          <w:rFonts w:hint="eastAsia" w:ascii="宋体" w:hAnsi="宋体"/>
          <w:sz w:val="24"/>
        </w:rPr>
        <w:t>11.1　甲乙双方应对在合同履行过程中所获得的对方的相关信息承担保密义务。获取对方保密信息的一方仅可将该信息用于履行其在本合同项下的义务，且只能由相关的工程技术人员使用。获取对方保密信息的一方应当采取适当有效的方式保护所获取的信息，未经授权不得使用、传播或者公开。</w:t>
      </w:r>
    </w:p>
    <w:p>
      <w:pPr>
        <w:snapToGrid w:val="0"/>
        <w:spacing w:line="440" w:lineRule="exact"/>
        <w:ind w:firstLine="480" w:firstLineChars="200"/>
        <w:rPr>
          <w:rFonts w:ascii="宋体" w:hAnsi="宋体"/>
          <w:sz w:val="24"/>
        </w:rPr>
      </w:pPr>
      <w:r>
        <w:rPr>
          <w:rFonts w:hint="eastAsia" w:ascii="宋体" w:hAnsi="宋体"/>
          <w:sz w:val="24"/>
        </w:rPr>
        <w:t>11.2　在本合同有效期内直至合同终止后三年内，若事先未得到对方的书面认可，甲、乙任何一方不得以任何方式透露双方签订本合同的事实、本合同内容以及在双方履行本合同过程中得到的对方的各种信息。</w:t>
      </w:r>
    </w:p>
    <w:p>
      <w:pPr>
        <w:snapToGrid w:val="0"/>
        <w:spacing w:line="440" w:lineRule="exact"/>
        <w:ind w:firstLine="480" w:firstLineChars="200"/>
        <w:rPr>
          <w:rFonts w:ascii="宋体" w:hAnsi="宋体"/>
          <w:sz w:val="24"/>
        </w:rPr>
      </w:pPr>
      <w:r>
        <w:rPr>
          <w:rFonts w:hint="eastAsia" w:ascii="宋体" w:hAnsi="宋体"/>
          <w:sz w:val="24"/>
        </w:rPr>
        <w:t>11.3　甲、乙任何一方违反保密约定，故意、过错或过失泄密的，除应立即采取措施停止泄密行为，减少泄密造成的损失外，还应承担相应的违约责任，违约金不足以弥补另一方所受全部损失的，泄密方还应按受害方实际损失予以赔偿。</w:t>
      </w:r>
    </w:p>
    <w:p>
      <w:pPr>
        <w:snapToGrid w:val="0"/>
        <w:spacing w:line="440" w:lineRule="exact"/>
        <w:ind w:firstLine="480" w:firstLineChars="200"/>
        <w:rPr>
          <w:rFonts w:ascii="宋体" w:hAnsi="宋体"/>
          <w:sz w:val="24"/>
        </w:rPr>
      </w:pPr>
      <w:permStart w:id="24" w:edGrp="everyone"/>
      <w:r>
        <w:rPr>
          <w:rFonts w:ascii="宋体" w:hAnsi="宋体"/>
          <w:sz w:val="24"/>
          <w:highlight w:val="yellow"/>
        </w:rPr>
        <w:t xml:space="preserve">11.4  </w:t>
      </w:r>
      <w:r>
        <w:rPr>
          <w:rFonts w:hint="eastAsia" w:ascii="宋体" w:hAnsi="宋体"/>
          <w:sz w:val="24"/>
          <w:highlight w:val="yellow"/>
        </w:rPr>
        <w:t>……………</w:t>
      </w:r>
    </w:p>
    <w:permEnd w:id="24"/>
    <w:p>
      <w:pPr>
        <w:snapToGrid w:val="0"/>
        <w:spacing w:line="440" w:lineRule="exact"/>
        <w:ind w:firstLine="482" w:firstLineChars="200"/>
        <w:rPr>
          <w:rFonts w:ascii="宋体"/>
          <w:b/>
          <w:bCs/>
          <w:sz w:val="24"/>
        </w:rPr>
      </w:pPr>
      <w:r>
        <w:rPr>
          <w:rFonts w:hint="eastAsia" w:ascii="宋体" w:hAnsi="宋体"/>
          <w:b/>
          <w:bCs/>
          <w:sz w:val="24"/>
        </w:rPr>
        <w:t>第十二条  其他约定</w:t>
      </w:r>
    </w:p>
    <w:p>
      <w:pPr>
        <w:spacing w:line="440" w:lineRule="exact"/>
        <w:ind w:firstLine="480" w:firstLineChars="200"/>
        <w:rPr>
          <w:rFonts w:ascii="宋体" w:hAnsi="宋体"/>
          <w:sz w:val="24"/>
        </w:rPr>
      </w:pPr>
      <w:r>
        <w:rPr>
          <w:rFonts w:hint="eastAsia" w:ascii="宋体" w:hAnsi="宋体"/>
          <w:sz w:val="24"/>
        </w:rPr>
        <w:t>12.1　本合同的订立、有效性、解释、履行、修订和终止以及争议的解决均适用中华人民共和国法律。合同履行过程中产生争议，甲乙双方应在不违背本合同的原则下协商解决。如无法协商解决，应向甲方住所地法院提起诉讼解决。</w:t>
      </w:r>
    </w:p>
    <w:p>
      <w:pPr>
        <w:spacing w:line="440" w:lineRule="exact"/>
        <w:ind w:firstLine="480" w:firstLineChars="200"/>
        <w:rPr>
          <w:rFonts w:ascii="宋体" w:hAnsi="宋体"/>
          <w:sz w:val="24"/>
        </w:rPr>
      </w:pPr>
      <w:r>
        <w:rPr>
          <w:rFonts w:hint="eastAsia" w:ascii="宋体" w:hAnsi="宋体"/>
          <w:sz w:val="24"/>
        </w:rPr>
        <w:t>12.2　本合同所称之损失包括实际损失和合同履行后可以获得的利益，诉讼或仲裁以及合理的调查费、交通费、差旅费、律师费等相关费用。</w:t>
      </w:r>
    </w:p>
    <w:p>
      <w:pPr>
        <w:spacing w:line="440" w:lineRule="exact"/>
        <w:ind w:firstLine="480" w:firstLineChars="200"/>
        <w:rPr>
          <w:rFonts w:ascii="宋体" w:hAnsi="宋体"/>
          <w:sz w:val="24"/>
        </w:rPr>
      </w:pPr>
      <w:r>
        <w:rPr>
          <w:rFonts w:hint="eastAsia" w:ascii="宋体" w:hAnsi="宋体"/>
          <w:sz w:val="24"/>
        </w:rPr>
        <w:t>12.3  合同未尽事宜，由甲乙双方协商后以书面形式记录并作为本合同的附件。合同附件为合同的有效组成部分，与合同具有同等效力。</w:t>
      </w:r>
    </w:p>
    <w:p>
      <w:pPr>
        <w:spacing w:line="440" w:lineRule="exact"/>
        <w:ind w:firstLine="480" w:firstLineChars="200"/>
        <w:rPr>
          <w:rFonts w:ascii="宋体" w:hAnsi="宋体"/>
          <w:sz w:val="24"/>
        </w:rPr>
      </w:pPr>
      <w:r>
        <w:rPr>
          <w:rFonts w:hint="eastAsia" w:ascii="宋体" w:hAnsi="宋体"/>
          <w:sz w:val="24"/>
        </w:rPr>
        <w:t>12.4　本合同采购项目的招投标文件为合同有效组成部分，与合同具有同等法律效力。</w:t>
      </w:r>
    </w:p>
    <w:p>
      <w:pPr>
        <w:spacing w:line="440" w:lineRule="exact"/>
        <w:ind w:firstLine="480" w:firstLineChars="200"/>
        <w:rPr>
          <w:rFonts w:ascii="宋体" w:hAnsi="宋体"/>
          <w:sz w:val="24"/>
        </w:rPr>
      </w:pPr>
      <w:r>
        <w:rPr>
          <w:rFonts w:hint="eastAsia" w:ascii="宋体" w:hAnsi="宋体"/>
          <w:sz w:val="24"/>
        </w:rPr>
        <w:t>12.5  本合同由双方当事人协商确认，不构成甲方的任何格式合同。乙方已阅读合同所有条款，对合同条款的含义及相应的法律后果已全部认知，完全出于真实意图签署本合同。</w:t>
      </w:r>
    </w:p>
    <w:p>
      <w:pPr>
        <w:spacing w:line="440" w:lineRule="exact"/>
        <w:ind w:firstLine="480" w:firstLineChars="200"/>
        <w:rPr>
          <w:rFonts w:ascii="宋体" w:hAnsi="宋体"/>
          <w:sz w:val="24"/>
        </w:rPr>
      </w:pPr>
      <w:r>
        <w:rPr>
          <w:rFonts w:hint="eastAsia" w:ascii="宋体" w:hAnsi="宋体"/>
          <w:sz w:val="24"/>
        </w:rPr>
        <w:t>12.6  本合同经双方法定代表人或其委托代理人签署并加盖单位公章或合同专用章后生效。合同一式</w:t>
      </w:r>
      <w:permStart w:id="25" w:edGrp="everyone"/>
      <w:r>
        <w:rPr>
          <w:rFonts w:hint="eastAsia" w:ascii="宋体" w:hAnsi="宋体"/>
          <w:sz w:val="24"/>
        </w:rPr>
        <w:t>柒</w:t>
      </w:r>
      <w:permEnd w:id="25"/>
      <w:r>
        <w:rPr>
          <w:rFonts w:hint="eastAsia" w:ascii="宋体" w:hAnsi="宋体"/>
          <w:sz w:val="24"/>
        </w:rPr>
        <w:t>份，甲方执</w:t>
      </w:r>
      <w:permStart w:id="26" w:edGrp="everyone"/>
      <w:r>
        <w:rPr>
          <w:rFonts w:hint="eastAsia" w:ascii="宋体" w:hAnsi="宋体"/>
          <w:sz w:val="24"/>
        </w:rPr>
        <w:t>伍</w:t>
      </w:r>
      <w:permEnd w:id="26"/>
      <w:r>
        <w:rPr>
          <w:rFonts w:hint="eastAsia" w:ascii="宋体" w:hAnsi="宋体"/>
          <w:sz w:val="24"/>
        </w:rPr>
        <w:t>份，乙方执</w:t>
      </w:r>
      <w:permStart w:id="27" w:edGrp="everyone"/>
      <w:r>
        <w:rPr>
          <w:rFonts w:hint="eastAsia" w:ascii="宋体" w:hAnsi="宋体"/>
          <w:sz w:val="24"/>
        </w:rPr>
        <w:t>贰</w:t>
      </w:r>
      <w:r>
        <w:rPr>
          <w:rFonts w:hint="eastAsia" w:ascii="楷体_GB2312" w:hAnsi="宋体" w:eastAsia="楷体_GB2312"/>
          <w:b/>
          <w:color w:val="FF0000"/>
          <w:sz w:val="24"/>
          <w:highlight w:val="yellow"/>
        </w:rPr>
        <w:t>（此处也可由乙方提出具体份数）</w:t>
      </w:r>
      <w:permEnd w:id="27"/>
      <w:r>
        <w:rPr>
          <w:rFonts w:hint="eastAsia" w:ascii="宋体" w:hAnsi="宋体"/>
          <w:sz w:val="24"/>
        </w:rPr>
        <w:t>份，具有同等法律效力。</w:t>
      </w:r>
    </w:p>
    <w:p>
      <w:pPr>
        <w:spacing w:line="440" w:lineRule="exact"/>
        <w:ind w:firstLine="480" w:firstLineChars="200"/>
        <w:rPr>
          <w:rFonts w:ascii="宋体" w:hAnsi="宋体"/>
          <w:sz w:val="24"/>
        </w:rPr>
      </w:pPr>
      <w:permStart w:id="28" w:edGrp="everyone"/>
      <w:r>
        <w:rPr>
          <w:rFonts w:hint="eastAsia" w:ascii="宋体" w:hAnsi="宋体"/>
          <w:sz w:val="24"/>
        </w:rPr>
        <w:t>12.6　……………</w:t>
      </w:r>
    </w:p>
    <w:permEnd w:id="28"/>
    <w:p>
      <w:pPr>
        <w:snapToGrid w:val="0"/>
        <w:spacing w:line="440" w:lineRule="exact"/>
        <w:ind w:firstLine="480" w:firstLineChars="200"/>
        <w:rPr>
          <w:rFonts w:ascii="宋体"/>
          <w:sz w:val="24"/>
        </w:rPr>
      </w:pPr>
    </w:p>
    <w:p>
      <w:pPr>
        <w:adjustRightInd w:val="0"/>
        <w:snapToGrid w:val="0"/>
        <w:spacing w:line="440" w:lineRule="exact"/>
        <w:rPr>
          <w:rFonts w:ascii="宋体" w:hAnsi="宋体"/>
          <w:sz w:val="24"/>
        </w:rPr>
      </w:pPr>
      <w:r>
        <w:rPr>
          <w:rFonts w:hint="eastAsia" w:ascii="宋体" w:hAnsi="宋体"/>
          <w:sz w:val="24"/>
        </w:rPr>
        <w:t>甲   方(盖章)：南昌大学                乙   方(盖章)：</w:t>
      </w:r>
    </w:p>
    <w:p>
      <w:pPr>
        <w:adjustRightInd w:val="0"/>
        <w:snapToGrid w:val="0"/>
        <w:spacing w:line="440" w:lineRule="exact"/>
        <w:rPr>
          <w:rFonts w:ascii="宋体"/>
          <w:sz w:val="24"/>
        </w:rPr>
      </w:pPr>
      <w:r>
        <w:rPr>
          <w:rFonts w:hint="eastAsia" w:ascii="宋体" w:hAnsi="宋体"/>
          <w:sz w:val="24"/>
        </w:rPr>
        <w:t>采购项目申请单位负责人：</w:t>
      </w:r>
    </w:p>
    <w:p>
      <w:pPr>
        <w:adjustRightInd w:val="0"/>
        <w:snapToGrid w:val="0"/>
        <w:spacing w:line="440" w:lineRule="exact"/>
        <w:rPr>
          <w:rFonts w:ascii="宋体"/>
          <w:sz w:val="24"/>
        </w:rPr>
      </w:pPr>
      <w:r>
        <w:rPr>
          <w:rFonts w:hint="eastAsia" w:ascii="宋体" w:hAnsi="宋体"/>
          <w:sz w:val="24"/>
        </w:rPr>
        <w:t xml:space="preserve">法定代表人（委托代理人）：               法定代表人(委托代理人）： </w:t>
      </w:r>
    </w:p>
    <w:p>
      <w:pPr>
        <w:adjustRightInd w:val="0"/>
        <w:snapToGrid w:val="0"/>
        <w:spacing w:line="440" w:lineRule="exact"/>
        <w:rPr>
          <w:rFonts w:ascii="宋体"/>
          <w:sz w:val="24"/>
        </w:rPr>
      </w:pPr>
      <w:r>
        <w:rPr>
          <w:rFonts w:hint="eastAsia" w:ascii="宋体" w:hAnsi="宋体"/>
          <w:sz w:val="24"/>
        </w:rPr>
        <w:t>联系方式：</w:t>
      </w:r>
      <w:permStart w:id="29" w:edGrp="everyone"/>
      <w:r>
        <w:rPr>
          <w:rFonts w:hint="eastAsia" w:ascii="宋体" w:hAnsi="宋体"/>
          <w:sz w:val="24"/>
        </w:rPr>
        <w:t xml:space="preserve">                 </w:t>
      </w:r>
      <w:permEnd w:id="29"/>
      <w:r>
        <w:rPr>
          <w:rFonts w:hint="eastAsia" w:ascii="宋体" w:hAnsi="宋体"/>
          <w:sz w:val="24"/>
        </w:rPr>
        <w:t xml:space="preserve">             联系方式：</w:t>
      </w:r>
      <w:permStart w:id="30" w:edGrp="everyone"/>
      <w:r>
        <w:rPr>
          <w:rFonts w:hint="eastAsia" w:ascii="宋体" w:hAnsi="宋体"/>
          <w:sz w:val="24"/>
        </w:rPr>
        <w:t xml:space="preserve">                 </w:t>
      </w:r>
      <w:permEnd w:id="30"/>
      <w:r>
        <w:rPr>
          <w:rFonts w:hint="eastAsia" w:ascii="宋体" w:hAnsi="宋体"/>
          <w:sz w:val="24"/>
        </w:rPr>
        <w:t xml:space="preserve">  </w:t>
      </w:r>
    </w:p>
    <w:p>
      <w:pPr>
        <w:adjustRightInd w:val="0"/>
        <w:snapToGrid w:val="0"/>
        <w:spacing w:line="440" w:lineRule="exact"/>
        <w:rPr>
          <w:rFonts w:ascii="宋体"/>
          <w:sz w:val="24"/>
        </w:rPr>
      </w:pPr>
      <w:r>
        <w:rPr>
          <w:rFonts w:hint="eastAsia" w:ascii="宋体" w:hAnsi="宋体"/>
          <w:sz w:val="24"/>
        </w:rPr>
        <w:t>组织机构代码：                          组织机构代码：</w:t>
      </w:r>
    </w:p>
    <w:p>
      <w:pPr>
        <w:adjustRightInd w:val="0"/>
        <w:snapToGrid w:val="0"/>
        <w:spacing w:line="440" w:lineRule="exact"/>
        <w:rPr>
          <w:rFonts w:ascii="宋体"/>
          <w:sz w:val="24"/>
        </w:rPr>
      </w:pPr>
      <w:r>
        <w:rPr>
          <w:rFonts w:hint="eastAsia" w:ascii="宋体" w:hAnsi="宋体"/>
          <w:sz w:val="24"/>
        </w:rPr>
        <w:t>住所地：                                住所地：</w:t>
      </w:r>
    </w:p>
    <w:p>
      <w:pPr>
        <w:adjustRightInd w:val="0"/>
        <w:snapToGrid w:val="0"/>
        <w:spacing w:line="440" w:lineRule="exact"/>
        <w:rPr>
          <w:rFonts w:ascii="宋体"/>
          <w:sz w:val="24"/>
        </w:rPr>
      </w:pPr>
      <w:r>
        <w:rPr>
          <w:rFonts w:hint="eastAsia" w:ascii="宋体" w:hAnsi="宋体"/>
          <w:sz w:val="24"/>
        </w:rPr>
        <w:t>银行账号：</w:t>
      </w:r>
      <w:r>
        <w:rPr>
          <w:rFonts w:hint="eastAsia" w:ascii="仿宋_GB2312" w:hAnsi="宋体" w:eastAsia="仿宋_GB2312"/>
          <w:color w:val="000000"/>
          <w:sz w:val="24"/>
        </w:rPr>
        <w:t xml:space="preserve">36001050490052500256          </w:t>
      </w:r>
      <w:r>
        <w:rPr>
          <w:rFonts w:hint="eastAsia" w:ascii="宋体" w:hAnsi="宋体"/>
          <w:sz w:val="24"/>
        </w:rPr>
        <w:t>银行账号：</w:t>
      </w:r>
      <w:permStart w:id="31" w:edGrp="everyone"/>
      <w:r>
        <w:rPr>
          <w:rFonts w:hint="eastAsia" w:ascii="宋体" w:hAnsi="宋体"/>
          <w:sz w:val="24"/>
        </w:rPr>
        <w:t xml:space="preserve">                 </w:t>
      </w:r>
      <w:permEnd w:id="31"/>
      <w:r>
        <w:rPr>
          <w:rFonts w:hint="eastAsia" w:ascii="宋体" w:hAnsi="宋体"/>
          <w:sz w:val="24"/>
        </w:rPr>
        <w:t xml:space="preserve">  </w:t>
      </w:r>
    </w:p>
    <w:p>
      <w:pPr>
        <w:adjustRightInd w:val="0"/>
        <w:snapToGrid w:val="0"/>
        <w:spacing w:line="440" w:lineRule="exact"/>
        <w:rPr>
          <w:rFonts w:ascii="宋体"/>
          <w:sz w:val="24"/>
        </w:rPr>
      </w:pPr>
      <w:r>
        <w:rPr>
          <w:rFonts w:hint="eastAsia" w:ascii="宋体" w:hAnsi="宋体"/>
          <w:sz w:val="24"/>
        </w:rPr>
        <w:t>开户行：</w:t>
      </w:r>
      <w:r>
        <w:rPr>
          <w:rFonts w:hint="eastAsia" w:ascii="仿宋_GB2312" w:hAnsi="宋体" w:eastAsia="仿宋_GB2312"/>
          <w:color w:val="000000"/>
          <w:sz w:val="24"/>
        </w:rPr>
        <w:t xml:space="preserve">中国建设银行南昌前湖支行        </w:t>
      </w:r>
      <w:r>
        <w:rPr>
          <w:rFonts w:hint="eastAsia" w:ascii="宋体" w:hAnsi="宋体"/>
          <w:sz w:val="24"/>
        </w:rPr>
        <w:t>开户行：</w:t>
      </w:r>
      <w:permStart w:id="32" w:edGrp="everyone"/>
      <w:r>
        <w:rPr>
          <w:rFonts w:hint="eastAsia" w:ascii="宋体" w:hAnsi="宋体"/>
          <w:sz w:val="24"/>
        </w:rPr>
        <w:t xml:space="preserve">                 </w:t>
      </w:r>
      <w:permEnd w:id="32"/>
      <w:r>
        <w:rPr>
          <w:rFonts w:hint="eastAsia" w:ascii="宋体" w:hAnsi="宋体"/>
          <w:sz w:val="24"/>
        </w:rPr>
        <w:t xml:space="preserve">  </w:t>
      </w:r>
    </w:p>
    <w:p>
      <w:pPr>
        <w:adjustRightInd w:val="0"/>
        <w:snapToGrid w:val="0"/>
        <w:spacing w:line="440" w:lineRule="exact"/>
        <w:jc w:val="center"/>
        <w:rPr>
          <w:rFonts w:ascii="宋体" w:hAnsi="宋体"/>
          <w:sz w:val="24"/>
        </w:rPr>
      </w:pPr>
    </w:p>
    <w:p>
      <w:pPr>
        <w:adjustRightInd w:val="0"/>
        <w:snapToGrid w:val="0"/>
        <w:spacing w:line="440" w:lineRule="exact"/>
        <w:jc w:val="center"/>
        <w:rPr>
          <w:rFonts w:ascii="宋体" w:hAnsi="宋体"/>
          <w:sz w:val="24"/>
        </w:rPr>
      </w:pPr>
      <w:r>
        <w:rPr>
          <w:rFonts w:hint="eastAsia" w:ascii="宋体" w:hAnsi="宋体"/>
          <w:sz w:val="24"/>
        </w:rPr>
        <w:t>签约地点：江西省南昌市</w:t>
      </w:r>
    </w:p>
    <w:p>
      <w:pPr>
        <w:adjustRightInd w:val="0"/>
        <w:snapToGrid w:val="0"/>
        <w:spacing w:line="440" w:lineRule="exact"/>
        <w:jc w:val="center"/>
        <w:rPr>
          <w:rFonts w:ascii="宋体" w:hAnsi="宋体"/>
          <w:sz w:val="24"/>
        </w:rPr>
      </w:pPr>
      <w:r>
        <w:rPr>
          <w:rFonts w:hint="eastAsia" w:ascii="宋体" w:hAnsi="宋体"/>
          <w:sz w:val="24"/>
        </w:rPr>
        <w:t>签约时间：       年    月   日</w:t>
      </w:r>
    </w:p>
    <w:p>
      <w:pPr>
        <w:adjustRightInd w:val="0"/>
        <w:snapToGrid w:val="0"/>
        <w:spacing w:line="360" w:lineRule="auto"/>
        <w:rPr>
          <w:rFonts w:ascii="宋体" w:hAnsi="宋体"/>
          <w:b/>
          <w:sz w:val="28"/>
          <w:szCs w:val="28"/>
        </w:rPr>
      </w:pPr>
    </w:p>
    <w:p>
      <w:pPr>
        <w:pageBreakBefore/>
        <w:adjustRightInd w:val="0"/>
        <w:snapToGrid w:val="0"/>
        <w:spacing w:line="360" w:lineRule="auto"/>
        <w:rPr>
          <w:rFonts w:ascii="宋体" w:hAnsi="宋体"/>
          <w:b/>
          <w:sz w:val="28"/>
          <w:szCs w:val="28"/>
        </w:rPr>
      </w:pPr>
      <w:r>
        <w:rPr>
          <w:rFonts w:hint="eastAsia" w:ascii="宋体" w:hAnsi="宋体"/>
          <w:b/>
          <w:sz w:val="28"/>
          <w:szCs w:val="28"/>
        </w:rPr>
        <w:t>合同附件一：</w:t>
      </w:r>
    </w:p>
    <w:p>
      <w:pPr>
        <w:spacing w:line="500" w:lineRule="exact"/>
        <w:ind w:firstLine="602" w:firstLineChars="200"/>
        <w:rPr>
          <w:rFonts w:ascii="宋体" w:hAnsi="宋体"/>
          <w:b/>
          <w:bCs/>
          <w:sz w:val="36"/>
          <w:szCs w:val="36"/>
        </w:rPr>
      </w:pPr>
      <w:r>
        <w:rPr>
          <w:rFonts w:hint="eastAsia" w:ascii="宋体" w:hAnsi="宋体"/>
          <w:b/>
          <w:bCs/>
          <w:sz w:val="30"/>
          <w:szCs w:val="30"/>
        </w:rPr>
        <w:t xml:space="preserve">  南昌大学</w:t>
      </w:r>
      <w:permStart w:id="33" w:edGrp="everyone"/>
      <w:r>
        <w:rPr>
          <w:rFonts w:hint="eastAsia" w:ascii="宋体" w:hAnsi="宋体"/>
          <w:b/>
          <w:bCs/>
          <w:sz w:val="30"/>
          <w:szCs w:val="30"/>
        </w:rPr>
        <w:t>“</w:t>
      </w:r>
      <w:r>
        <w:rPr>
          <w:rFonts w:hint="eastAsia" w:ascii="宋体" w:hAnsi="宋体"/>
          <w:b/>
          <w:bCs/>
          <w:sz w:val="30"/>
          <w:szCs w:val="30"/>
          <w:u w:val="single"/>
        </w:rPr>
        <w:t>　　　　　　　　　　</w:t>
      </w:r>
      <w:r>
        <w:rPr>
          <w:rFonts w:hint="eastAsia" w:ascii="宋体" w:hAnsi="宋体"/>
          <w:b/>
          <w:bCs/>
          <w:sz w:val="30"/>
          <w:szCs w:val="30"/>
          <w:highlight w:val="yellow"/>
        </w:rPr>
        <w:t>软件</w:t>
      </w:r>
      <w:r>
        <w:rPr>
          <w:rFonts w:hint="eastAsia" w:ascii="宋体" w:hAnsi="宋体"/>
          <w:b/>
          <w:bCs/>
          <w:sz w:val="30"/>
          <w:szCs w:val="30"/>
        </w:rPr>
        <w:t>”</w:t>
      </w:r>
      <w:permEnd w:id="33"/>
      <w:r>
        <w:rPr>
          <w:rFonts w:hint="eastAsia" w:ascii="宋体" w:hAnsi="宋体"/>
          <w:b/>
          <w:bCs/>
          <w:sz w:val="30"/>
          <w:szCs w:val="30"/>
        </w:rPr>
        <w:t>一套</w:t>
      </w:r>
    </w:p>
    <w:p>
      <w:pPr>
        <w:spacing w:line="500" w:lineRule="exact"/>
        <w:ind w:firstLine="482" w:firstLineChars="200"/>
        <w:rPr>
          <w:rFonts w:ascii="宋体" w:hAnsi="宋体"/>
          <w:b/>
          <w:bCs/>
          <w:sz w:val="24"/>
        </w:rPr>
      </w:pPr>
      <w:r>
        <w:rPr>
          <w:rFonts w:hint="eastAsia" w:ascii="宋体" w:hAnsi="宋体"/>
          <w:b/>
          <w:bCs/>
          <w:sz w:val="24"/>
        </w:rPr>
        <w:t>一、技术参数和要求</w:t>
      </w:r>
    </w:p>
    <w:p>
      <w:pPr>
        <w:spacing w:line="500" w:lineRule="exact"/>
        <w:ind w:firstLine="480" w:firstLineChars="200"/>
        <w:rPr>
          <w:rFonts w:ascii="宋体" w:hAnsi="宋体"/>
          <w:sz w:val="24"/>
        </w:rPr>
      </w:pPr>
      <w:r>
        <w:rPr>
          <w:rFonts w:hint="eastAsia" w:ascii="宋体" w:hAnsi="宋体"/>
          <w:sz w:val="24"/>
        </w:rPr>
        <w:t>供应商递交的响应文件应全部实质性响应以下技术参数要求，否则，视为无效响应文件：</w:t>
      </w:r>
    </w:p>
    <w:p>
      <w:pPr>
        <w:spacing w:line="500" w:lineRule="exact"/>
        <w:ind w:firstLine="482" w:firstLineChars="200"/>
        <w:rPr>
          <w:rFonts w:ascii="宋体" w:hAnsi="宋体"/>
          <w:b/>
          <w:bCs/>
          <w:sz w:val="24"/>
        </w:rPr>
      </w:pPr>
      <w:r>
        <w:rPr>
          <w:rFonts w:hint="eastAsia" w:ascii="宋体" w:hAnsi="宋体"/>
          <w:b/>
          <w:bCs/>
          <w:sz w:val="24"/>
        </w:rPr>
        <w:t>二、基本功能</w:t>
      </w:r>
    </w:p>
    <w:tbl>
      <w:tblPr>
        <w:tblStyle w:val="8"/>
        <w:tblW w:w="8373" w:type="dxa"/>
        <w:tblInd w:w="93" w:type="dxa"/>
        <w:tblLayout w:type="fixed"/>
        <w:tblCellMar>
          <w:top w:w="15" w:type="dxa"/>
          <w:left w:w="15" w:type="dxa"/>
          <w:bottom w:w="15" w:type="dxa"/>
          <w:right w:w="15" w:type="dxa"/>
        </w:tblCellMar>
      </w:tblPr>
      <w:tblGrid>
        <w:gridCol w:w="855"/>
        <w:gridCol w:w="1529"/>
        <w:gridCol w:w="1444"/>
        <w:gridCol w:w="3036"/>
        <w:gridCol w:w="1509"/>
      </w:tblGrid>
      <w:tr>
        <w:tblPrEx>
          <w:tblCellMar>
            <w:top w:w="15" w:type="dxa"/>
            <w:left w:w="15" w:type="dxa"/>
            <w:bottom w:w="15" w:type="dxa"/>
            <w:right w:w="15"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科室</w:t>
            </w:r>
          </w:p>
        </w:tc>
        <w:tc>
          <w:tcPr>
            <w:tcW w:w="152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一级目录功能菜单名称</w:t>
            </w:r>
          </w:p>
        </w:tc>
        <w:tc>
          <w:tcPr>
            <w:tcW w:w="14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二级目录功能菜单名称</w:t>
            </w:r>
          </w:p>
        </w:tc>
        <w:tc>
          <w:tcPr>
            <w:tcW w:w="303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实现功能</w:t>
            </w:r>
          </w:p>
        </w:tc>
        <w:tc>
          <w:tcPr>
            <w:tcW w:w="15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宋体" w:hAnsi="宋体"/>
                <w:b/>
                <w:bCs/>
                <w:color w:val="000000"/>
                <w:kern w:val="0"/>
                <w:sz w:val="20"/>
                <w:szCs w:val="20"/>
              </w:rPr>
            </w:pPr>
            <w:r>
              <w:rPr>
                <w:rFonts w:hint="eastAsia" w:ascii="宋体" w:hAnsi="宋体"/>
                <w:b/>
                <w:bCs/>
                <w:color w:val="000000"/>
                <w:kern w:val="0"/>
                <w:sz w:val="20"/>
                <w:szCs w:val="20"/>
              </w:rPr>
              <w:t>备注</w:t>
            </w:r>
          </w:p>
        </w:tc>
      </w:tr>
      <w:tr>
        <w:tblPrEx>
          <w:tblCellMar>
            <w:top w:w="15" w:type="dxa"/>
            <w:left w:w="15" w:type="dxa"/>
            <w:bottom w:w="15" w:type="dxa"/>
            <w:right w:w="15" w:type="dxa"/>
          </w:tblCellMar>
        </w:tblPrEx>
        <w:trPr>
          <w:trHeight w:val="480" w:hRule="atLeast"/>
        </w:trPr>
        <w:tc>
          <w:tcPr>
            <w:tcW w:w="855" w:type="dxa"/>
            <w:vMerge w:val="restart"/>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ermStart w:id="34" w:edGrp="everyone"/>
          </w:p>
        </w:tc>
        <w:tc>
          <w:tcPr>
            <w:tcW w:w="1529" w:type="dxa"/>
            <w:vMerge w:val="restart"/>
            <w:tcBorders>
              <w:top w:val="nil"/>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restart"/>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480"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285"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480"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480"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480"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restart"/>
            <w:tcBorders>
              <w:top w:val="nil"/>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480"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285"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jc w:val="left"/>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285"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restart"/>
            <w:tcBorders>
              <w:top w:val="nil"/>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jc w:val="left"/>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285"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jc w:val="left"/>
              <w:rPr>
                <w:rFonts w:ascii="宋体" w:hAnsi="宋体"/>
                <w:color w:val="000000"/>
                <w:sz w:val="18"/>
                <w:szCs w:val="18"/>
              </w:rPr>
            </w:pPr>
          </w:p>
        </w:tc>
        <w:tc>
          <w:tcPr>
            <w:tcW w:w="1509" w:type="dxa"/>
            <w:vMerge w:val="continue"/>
            <w:tcBorders>
              <w:right w:val="single" w:color="auto" w:sz="4" w:space="0"/>
            </w:tcBorders>
            <w:vAlign w:val="center"/>
          </w:tcPr>
          <w:p>
            <w:pPr>
              <w:widowControl/>
              <w:jc w:val="left"/>
              <w:rPr>
                <w:rFonts w:ascii="宋体" w:hAnsi="宋体"/>
                <w:color w:val="000000"/>
                <w:kern w:val="0"/>
                <w:sz w:val="18"/>
                <w:szCs w:val="18"/>
              </w:rPr>
            </w:pPr>
          </w:p>
        </w:tc>
      </w:tr>
      <w:tr>
        <w:tblPrEx>
          <w:tblCellMar>
            <w:top w:w="15" w:type="dxa"/>
            <w:left w:w="15" w:type="dxa"/>
            <w:bottom w:w="15" w:type="dxa"/>
            <w:right w:w="15" w:type="dxa"/>
          </w:tblCellMar>
        </w:tblPrEx>
        <w:trPr>
          <w:trHeight w:val="285" w:hRule="atLeast"/>
        </w:trPr>
        <w:tc>
          <w:tcPr>
            <w:tcW w:w="85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0"/>
                <w:szCs w:val="20"/>
              </w:rPr>
            </w:pPr>
          </w:p>
        </w:tc>
        <w:tc>
          <w:tcPr>
            <w:tcW w:w="1529"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sz w:val="20"/>
                <w:szCs w:val="20"/>
              </w:rPr>
            </w:pPr>
          </w:p>
        </w:tc>
        <w:tc>
          <w:tcPr>
            <w:tcW w:w="144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0"/>
                <w:szCs w:val="20"/>
              </w:rPr>
            </w:pPr>
          </w:p>
        </w:tc>
        <w:tc>
          <w:tcPr>
            <w:tcW w:w="3036" w:type="dxa"/>
            <w:tcBorders>
              <w:top w:val="single" w:color="000000" w:sz="4" w:space="0"/>
              <w:left w:val="nil"/>
              <w:bottom w:val="single" w:color="000000" w:sz="4" w:space="0"/>
              <w:right w:val="single" w:color="auto" w:sz="4" w:space="0"/>
            </w:tcBorders>
            <w:vAlign w:val="center"/>
          </w:tcPr>
          <w:p>
            <w:pPr>
              <w:jc w:val="left"/>
              <w:rPr>
                <w:rFonts w:ascii="宋体" w:hAnsi="宋体"/>
                <w:color w:val="000000"/>
                <w:sz w:val="18"/>
                <w:szCs w:val="18"/>
              </w:rPr>
            </w:pPr>
          </w:p>
        </w:tc>
        <w:tc>
          <w:tcPr>
            <w:tcW w:w="1509" w:type="dxa"/>
            <w:vMerge w:val="continue"/>
            <w:tcBorders>
              <w:bottom w:val="single" w:color="auto" w:sz="4" w:space="0"/>
              <w:right w:val="single" w:color="auto" w:sz="4" w:space="0"/>
            </w:tcBorders>
            <w:vAlign w:val="center"/>
          </w:tcPr>
          <w:p>
            <w:pPr>
              <w:widowControl/>
              <w:jc w:val="left"/>
              <w:rPr>
                <w:rFonts w:ascii="宋体" w:hAnsi="宋体"/>
                <w:color w:val="000000"/>
                <w:kern w:val="0"/>
                <w:sz w:val="18"/>
                <w:szCs w:val="18"/>
              </w:rPr>
            </w:pPr>
          </w:p>
        </w:tc>
      </w:tr>
    </w:tbl>
    <w:p>
      <w:pPr>
        <w:adjustRightInd w:val="0"/>
        <w:snapToGrid w:val="0"/>
        <w:spacing w:line="360" w:lineRule="auto"/>
        <w:rPr>
          <w:rFonts w:ascii="宋体" w:hAnsi="宋体"/>
          <w:sz w:val="24"/>
        </w:rPr>
      </w:pPr>
    </w:p>
    <w:permEnd w:id="34"/>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adjustRightInd w:val="0"/>
        <w:snapToGrid w:val="0"/>
        <w:spacing w:line="360" w:lineRule="auto"/>
        <w:rPr>
          <w:rFonts w:ascii="宋体" w:hAnsi="宋体"/>
          <w:b/>
          <w:sz w:val="28"/>
          <w:szCs w:val="28"/>
        </w:rPr>
      </w:pPr>
    </w:p>
    <w:p>
      <w:pPr>
        <w:pageBreakBefore/>
        <w:adjustRightInd w:val="0"/>
        <w:snapToGrid w:val="0"/>
        <w:spacing w:line="360" w:lineRule="auto"/>
        <w:rPr>
          <w:rFonts w:ascii="宋体" w:hAnsi="宋体"/>
          <w:b/>
          <w:sz w:val="28"/>
          <w:szCs w:val="28"/>
        </w:rPr>
      </w:pPr>
      <w:r>
        <w:rPr>
          <w:rFonts w:hint="eastAsia" w:ascii="宋体" w:hAnsi="宋体"/>
          <w:b/>
          <w:sz w:val="28"/>
          <w:szCs w:val="28"/>
        </w:rPr>
        <w:t>合同附件二：</w:t>
      </w:r>
    </w:p>
    <w:p>
      <w:pPr>
        <w:spacing w:line="500" w:lineRule="exact"/>
        <w:jc w:val="center"/>
        <w:rPr>
          <w:rFonts w:ascii="宋体" w:hAnsi="宋体"/>
          <w:b/>
          <w:bCs/>
          <w:sz w:val="30"/>
          <w:szCs w:val="30"/>
        </w:rPr>
      </w:pPr>
      <w:r>
        <w:rPr>
          <w:rFonts w:hint="eastAsia" w:ascii="宋体" w:hAnsi="宋体"/>
          <w:b/>
          <w:bCs/>
          <w:sz w:val="30"/>
          <w:szCs w:val="30"/>
        </w:rPr>
        <w:t>合同履行的计划、进度、期限、地点和方式</w:t>
      </w:r>
    </w:p>
    <w:p>
      <w:pPr>
        <w:spacing w:line="500" w:lineRule="exact"/>
        <w:ind w:firstLine="480" w:firstLineChars="200"/>
        <w:rPr>
          <w:rFonts w:ascii="宋体" w:hAnsi="宋体"/>
          <w:sz w:val="24"/>
        </w:rPr>
      </w:pPr>
      <w:r>
        <w:rPr>
          <w:rFonts w:hint="eastAsia" w:ascii="宋体" w:hAnsi="宋体"/>
          <w:sz w:val="24"/>
        </w:rPr>
        <w:t>1.计划、进度、期限</w:t>
      </w:r>
    </w:p>
    <w:tbl>
      <w:tblPr>
        <w:tblStyle w:val="8"/>
        <w:tblW w:w="8460" w:type="dxa"/>
        <w:tblInd w:w="108" w:type="dxa"/>
        <w:tblLayout w:type="fixed"/>
        <w:tblCellMar>
          <w:top w:w="0" w:type="dxa"/>
          <w:left w:w="108" w:type="dxa"/>
          <w:bottom w:w="0" w:type="dxa"/>
          <w:right w:w="108" w:type="dxa"/>
        </w:tblCellMar>
      </w:tblPr>
      <w:tblGrid>
        <w:gridCol w:w="720"/>
        <w:gridCol w:w="5177"/>
        <w:gridCol w:w="2563"/>
      </w:tblGrid>
      <w:tr>
        <w:tblPrEx>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序号</w:t>
            </w:r>
          </w:p>
        </w:tc>
        <w:tc>
          <w:tcPr>
            <w:tcW w:w="5177"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内容</w:t>
            </w:r>
          </w:p>
        </w:tc>
        <w:tc>
          <w:tcPr>
            <w:tcW w:w="2563"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计划完成时间</w:t>
            </w:r>
          </w:p>
        </w:tc>
      </w:tr>
      <w:tr>
        <w:tblPrEx>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bottom"/>
          </w:tcPr>
          <w:p>
            <w:pPr>
              <w:spacing w:line="500" w:lineRule="exact"/>
              <w:rPr>
                <w:rFonts w:ascii="宋体" w:hAnsi="宋体"/>
                <w:sz w:val="24"/>
              </w:rPr>
            </w:pPr>
            <w:permStart w:id="35" w:edGrp="everyone" w:colFirst="2" w:colLast="2"/>
            <w:r>
              <w:rPr>
                <w:rFonts w:hint="eastAsia" w:ascii="宋体" w:hAnsi="宋体"/>
                <w:sz w:val="24"/>
              </w:rPr>
              <w:t>1</w:t>
            </w:r>
          </w:p>
        </w:tc>
        <w:tc>
          <w:tcPr>
            <w:tcW w:w="5177"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完成系统设计</w:t>
            </w:r>
          </w:p>
        </w:tc>
        <w:tc>
          <w:tcPr>
            <w:tcW w:w="2563" w:type="dxa"/>
            <w:tcBorders>
              <w:top w:val="single" w:color="000000" w:sz="4" w:space="0"/>
              <w:left w:val="nil"/>
              <w:bottom w:val="single" w:color="000000" w:sz="4" w:space="0"/>
              <w:right w:val="single" w:color="000000" w:sz="4" w:space="0"/>
            </w:tcBorders>
            <w:vAlign w:val="bottom"/>
          </w:tcPr>
          <w:p>
            <w:pPr>
              <w:keepNext/>
              <w:keepLines/>
              <w:spacing w:before="260" w:after="260" w:line="500" w:lineRule="exact"/>
              <w:rPr>
                <w:rFonts w:ascii="宋体" w:hAnsi="宋体"/>
                <w:sz w:val="24"/>
                <w:highlight w:val="yellow"/>
              </w:rPr>
            </w:pPr>
          </w:p>
        </w:tc>
      </w:tr>
      <w:permEnd w:id="35"/>
      <w:tr>
        <w:tblPrEx>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bottom"/>
          </w:tcPr>
          <w:p>
            <w:pPr>
              <w:spacing w:line="500" w:lineRule="exact"/>
              <w:rPr>
                <w:rFonts w:ascii="宋体" w:hAnsi="宋体"/>
                <w:sz w:val="24"/>
              </w:rPr>
            </w:pPr>
            <w:permStart w:id="36" w:edGrp="everyone" w:colFirst="2" w:colLast="2"/>
            <w:r>
              <w:rPr>
                <w:rFonts w:hint="eastAsia" w:ascii="宋体" w:hAnsi="宋体"/>
                <w:sz w:val="24"/>
              </w:rPr>
              <w:t>2</w:t>
            </w:r>
          </w:p>
        </w:tc>
        <w:tc>
          <w:tcPr>
            <w:tcW w:w="5177"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完成系统开发、初步上线试用</w:t>
            </w:r>
          </w:p>
        </w:tc>
        <w:tc>
          <w:tcPr>
            <w:tcW w:w="2563" w:type="dxa"/>
            <w:tcBorders>
              <w:top w:val="single" w:color="000000" w:sz="4" w:space="0"/>
              <w:left w:val="nil"/>
              <w:bottom w:val="single" w:color="000000" w:sz="4" w:space="0"/>
              <w:right w:val="single" w:color="000000" w:sz="4" w:space="0"/>
            </w:tcBorders>
            <w:vAlign w:val="bottom"/>
          </w:tcPr>
          <w:p>
            <w:pPr>
              <w:keepNext/>
              <w:keepLines/>
              <w:spacing w:before="260" w:after="260" w:line="500" w:lineRule="exact"/>
              <w:rPr>
                <w:rFonts w:ascii="宋体" w:hAnsi="宋体"/>
                <w:sz w:val="24"/>
                <w:highlight w:val="yellow"/>
              </w:rPr>
            </w:pPr>
          </w:p>
        </w:tc>
      </w:tr>
      <w:permEnd w:id="36"/>
      <w:tr>
        <w:tblPrEx>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bottom"/>
          </w:tcPr>
          <w:p>
            <w:pPr>
              <w:spacing w:line="500" w:lineRule="exact"/>
              <w:rPr>
                <w:rFonts w:ascii="宋体" w:hAnsi="宋体"/>
                <w:sz w:val="24"/>
              </w:rPr>
            </w:pPr>
            <w:permStart w:id="37" w:edGrp="everyone" w:colFirst="2" w:colLast="2"/>
            <w:r>
              <w:rPr>
                <w:rFonts w:hint="eastAsia" w:ascii="宋体" w:hAnsi="宋体"/>
                <w:sz w:val="24"/>
              </w:rPr>
              <w:t>3</w:t>
            </w:r>
          </w:p>
        </w:tc>
        <w:tc>
          <w:tcPr>
            <w:tcW w:w="5177"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系统完善</w:t>
            </w:r>
          </w:p>
        </w:tc>
        <w:tc>
          <w:tcPr>
            <w:tcW w:w="2563" w:type="dxa"/>
            <w:tcBorders>
              <w:top w:val="single" w:color="000000" w:sz="4" w:space="0"/>
              <w:left w:val="nil"/>
              <w:bottom w:val="single" w:color="000000" w:sz="4" w:space="0"/>
              <w:right w:val="single" w:color="000000" w:sz="4" w:space="0"/>
            </w:tcBorders>
            <w:vAlign w:val="bottom"/>
          </w:tcPr>
          <w:p>
            <w:pPr>
              <w:keepNext/>
              <w:keepLines/>
              <w:spacing w:before="260" w:after="260" w:line="500" w:lineRule="exact"/>
              <w:rPr>
                <w:rFonts w:ascii="宋体" w:hAnsi="宋体"/>
                <w:sz w:val="24"/>
                <w:highlight w:val="yellow"/>
              </w:rPr>
            </w:pPr>
          </w:p>
        </w:tc>
      </w:tr>
      <w:permEnd w:id="37"/>
      <w:tr>
        <w:tblPrEx>
          <w:tblCellMar>
            <w:top w:w="0" w:type="dxa"/>
            <w:left w:w="108" w:type="dxa"/>
            <w:bottom w:w="0" w:type="dxa"/>
            <w:right w:w="108" w:type="dxa"/>
          </w:tblCellMar>
        </w:tblPrEx>
        <w:tc>
          <w:tcPr>
            <w:tcW w:w="720" w:type="dxa"/>
            <w:tcBorders>
              <w:top w:val="single" w:color="000000" w:sz="4" w:space="0"/>
              <w:left w:val="single" w:color="000000" w:sz="4" w:space="0"/>
              <w:bottom w:val="single" w:color="000000" w:sz="4" w:space="0"/>
              <w:right w:val="single" w:color="000000" w:sz="4" w:space="0"/>
            </w:tcBorders>
            <w:vAlign w:val="bottom"/>
          </w:tcPr>
          <w:p>
            <w:pPr>
              <w:spacing w:line="500" w:lineRule="exact"/>
              <w:rPr>
                <w:rFonts w:ascii="宋体" w:hAnsi="宋体"/>
                <w:sz w:val="24"/>
              </w:rPr>
            </w:pPr>
            <w:permStart w:id="38" w:edGrp="everyone" w:colFirst="2" w:colLast="2"/>
            <w:r>
              <w:rPr>
                <w:rFonts w:hint="eastAsia" w:ascii="宋体" w:hAnsi="宋体"/>
                <w:sz w:val="24"/>
              </w:rPr>
              <w:t>4</w:t>
            </w:r>
          </w:p>
        </w:tc>
        <w:tc>
          <w:tcPr>
            <w:tcW w:w="5177" w:type="dxa"/>
            <w:tcBorders>
              <w:top w:val="single" w:color="000000" w:sz="4" w:space="0"/>
              <w:left w:val="nil"/>
              <w:bottom w:val="single" w:color="000000" w:sz="4" w:space="0"/>
              <w:right w:val="single" w:color="000000" w:sz="4" w:space="0"/>
            </w:tcBorders>
            <w:vAlign w:val="bottom"/>
          </w:tcPr>
          <w:p>
            <w:pPr>
              <w:spacing w:line="500" w:lineRule="exact"/>
              <w:rPr>
                <w:rFonts w:ascii="宋体" w:hAnsi="宋体"/>
                <w:sz w:val="24"/>
              </w:rPr>
            </w:pPr>
            <w:r>
              <w:rPr>
                <w:rFonts w:hint="eastAsia" w:ascii="宋体" w:hAnsi="宋体"/>
                <w:sz w:val="24"/>
              </w:rPr>
              <w:t>系统正式投入使用、系统验收</w:t>
            </w:r>
          </w:p>
        </w:tc>
        <w:tc>
          <w:tcPr>
            <w:tcW w:w="2563" w:type="dxa"/>
            <w:tcBorders>
              <w:top w:val="single" w:color="000000" w:sz="4" w:space="0"/>
              <w:left w:val="nil"/>
              <w:bottom w:val="single" w:color="000000" w:sz="4" w:space="0"/>
              <w:right w:val="single" w:color="000000" w:sz="4" w:space="0"/>
            </w:tcBorders>
            <w:vAlign w:val="bottom"/>
          </w:tcPr>
          <w:p>
            <w:pPr>
              <w:keepNext/>
              <w:keepLines/>
              <w:spacing w:before="260" w:after="260" w:line="500" w:lineRule="exact"/>
              <w:rPr>
                <w:rFonts w:ascii="宋体" w:hAnsi="宋体"/>
                <w:sz w:val="24"/>
                <w:highlight w:val="yellow"/>
              </w:rPr>
            </w:pPr>
          </w:p>
        </w:tc>
      </w:tr>
      <w:permEnd w:id="38"/>
    </w:tbl>
    <w:p>
      <w:pPr>
        <w:spacing w:line="500" w:lineRule="exact"/>
        <w:ind w:firstLine="480" w:firstLineChars="200"/>
        <w:rPr>
          <w:rFonts w:ascii="宋体" w:hAnsi="宋体"/>
          <w:sz w:val="24"/>
        </w:rPr>
      </w:pPr>
      <w:r>
        <w:rPr>
          <w:rFonts w:hint="eastAsia" w:ascii="宋体" w:hAnsi="宋体"/>
          <w:sz w:val="24"/>
        </w:rPr>
        <w:t>2.地点：南昌大学</w:t>
      </w:r>
    </w:p>
    <w:p>
      <w:pPr>
        <w:spacing w:line="500" w:lineRule="exact"/>
        <w:ind w:firstLine="480" w:firstLineChars="200"/>
        <w:rPr>
          <w:rFonts w:ascii="宋体" w:hAnsi="宋体"/>
          <w:sz w:val="24"/>
        </w:rPr>
      </w:pPr>
      <w:r>
        <w:rPr>
          <w:rFonts w:hint="eastAsia" w:ascii="宋体" w:hAnsi="宋体"/>
          <w:sz w:val="24"/>
        </w:rPr>
        <w:t>3.方式：远程开发，现场安装、调试、实施、培训。</w:t>
      </w:r>
    </w:p>
    <w:p/>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2336" behindDoc="1" locked="0" layoutInCell="1" allowOverlap="1">
          <wp:simplePos x="0" y="0"/>
          <wp:positionH relativeFrom="margin">
            <wp:align>right</wp:align>
          </wp:positionH>
          <wp:positionV relativeFrom="paragraph">
            <wp:posOffset>372110</wp:posOffset>
          </wp:positionV>
          <wp:extent cx="5274310" cy="37084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370840"/>
                  </a:xfrm>
                  <a:prstGeom prst="rect">
                    <a:avLst/>
                  </a:prstGeom>
                </pic:spPr>
              </pic:pic>
            </a:graphicData>
          </a:graphic>
        </wp:anchor>
      </w:drawing>
    </w:r>
    <w:r>
      <w:pict>
        <v:shape id="WordPictureWatermark274420783" o:spid="_x0000_s2057" o:spt="75" type="#_x0000_t75" style="position:absolute;left:0pt;height:258.5pt;width:261.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o:title="资源 6"/>
          <o:lock v:ext="edit" aspectratio="t"/>
        </v:shape>
      </w:pict>
    </w: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74420782" o:spid="_x0000_s2056" o:spt="75" type="#_x0000_t75" style="position:absolute;left:0pt;height:258.5pt;width:261.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资源 6"/>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74420781" o:spid="_x0000_s2055" o:spt="75" type="#_x0000_t75" style="position:absolute;left:0pt;height:258.5pt;width:261.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资源 6"/>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B54B3"/>
    <w:multiLevelType w:val="multilevel"/>
    <w:tmpl w:val="00AB54B3"/>
    <w:lvl w:ilvl="0" w:tentative="0">
      <w:start w:val="2"/>
      <w:numFmt w:val="chineseCounting"/>
      <w:suff w:val="space"/>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艳">
    <w15:presenceInfo w15:providerId="None" w15:userId="李艳"/>
  </w15:person>
  <w15:person w15:author="廖艺齐">
    <w15:presenceInfo w15:providerId="None" w15:userId="廖艺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YjA4ODQ0Y2QzZDZjMGFlYmVhNDU2ZmE2YjVmMmIifQ=="/>
    <w:docVar w:name="KSO_WPS_MARK_KEY" w:val="06232aa9-62d9-4ad2-9f4e-042c243a7353"/>
  </w:docVars>
  <w:rsids>
    <w:rsidRoot w:val="000C3BAA"/>
    <w:rsid w:val="0005441A"/>
    <w:rsid w:val="00074F10"/>
    <w:rsid w:val="000817FB"/>
    <w:rsid w:val="00094DAD"/>
    <w:rsid w:val="000C1C32"/>
    <w:rsid w:val="000C3BAA"/>
    <w:rsid w:val="000F122D"/>
    <w:rsid w:val="0010287A"/>
    <w:rsid w:val="001A1F8D"/>
    <w:rsid w:val="00274FA3"/>
    <w:rsid w:val="00326E46"/>
    <w:rsid w:val="00383622"/>
    <w:rsid w:val="004856F2"/>
    <w:rsid w:val="005838CA"/>
    <w:rsid w:val="005857C4"/>
    <w:rsid w:val="00633E87"/>
    <w:rsid w:val="006814E9"/>
    <w:rsid w:val="0068315A"/>
    <w:rsid w:val="006913AA"/>
    <w:rsid w:val="006D1C8C"/>
    <w:rsid w:val="00786EA4"/>
    <w:rsid w:val="007C02CD"/>
    <w:rsid w:val="00820323"/>
    <w:rsid w:val="00825CB9"/>
    <w:rsid w:val="00835F34"/>
    <w:rsid w:val="00884967"/>
    <w:rsid w:val="00930CBA"/>
    <w:rsid w:val="00933057"/>
    <w:rsid w:val="00933D0F"/>
    <w:rsid w:val="00997ED0"/>
    <w:rsid w:val="009A1BA1"/>
    <w:rsid w:val="009C1A44"/>
    <w:rsid w:val="009E7E0C"/>
    <w:rsid w:val="00A57DF8"/>
    <w:rsid w:val="00B479B9"/>
    <w:rsid w:val="00BA4080"/>
    <w:rsid w:val="00BE568E"/>
    <w:rsid w:val="00BF4202"/>
    <w:rsid w:val="00C10FC9"/>
    <w:rsid w:val="00CC5E09"/>
    <w:rsid w:val="00CD1212"/>
    <w:rsid w:val="00D63994"/>
    <w:rsid w:val="00D9726C"/>
    <w:rsid w:val="00ED6F1B"/>
    <w:rsid w:val="00F45D38"/>
    <w:rsid w:val="00FD1457"/>
    <w:rsid w:val="05FD236B"/>
    <w:rsid w:val="12037C1E"/>
    <w:rsid w:val="547A4246"/>
    <w:rsid w:val="5A246691"/>
    <w:rsid w:val="78702218"/>
    <w:rsid w:val="796C7C38"/>
    <w:rsid w:val="7FC92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rPr>
      <w:rFonts w:asciiTheme="minorHAnsi" w:hAnsiTheme="minorHAnsi" w:eastAsiaTheme="minorEastAsia" w:cstheme="minorBidi"/>
      <w:szCs w:val="22"/>
    </w:rPr>
  </w:style>
  <w:style w:type="paragraph" w:styleId="3">
    <w:name w:val="Plain Text"/>
    <w:basedOn w:val="1"/>
    <w:semiHidden/>
    <w:unhideWhenUsed/>
    <w:uiPriority w:val="99"/>
    <w:rPr>
      <w:rFonts w:ascii="宋体" w:hAnsi="Courier New" w:cstheme="minorBidi"/>
      <w:szCs w:val="22"/>
    </w:rPr>
  </w:style>
  <w:style w:type="paragraph" w:styleId="4">
    <w:name w:val="Balloon Text"/>
    <w:basedOn w:val="1"/>
    <w:link w:val="18"/>
    <w:semiHidden/>
    <w:unhideWhenUsed/>
    <w:qFormat/>
    <w:uiPriority w:val="99"/>
    <w:rPr>
      <w:rFonts w:asciiTheme="minorHAnsi" w:hAnsiTheme="minorHAnsi" w:eastAsiaTheme="minorEastAsia" w:cstheme="minorBidi"/>
      <w:sz w:val="18"/>
      <w:szCs w:val="18"/>
    </w:rPr>
  </w:style>
  <w:style w:type="paragraph" w:styleId="5">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unhideWhenUsed/>
    <w:uiPriority w:val="99"/>
  </w:style>
  <w:style w:type="character" w:styleId="12">
    <w:name w:val="Hyperlink"/>
    <w:basedOn w:val="10"/>
    <w:uiPriority w:val="0"/>
    <w:rPr>
      <w:color w:val="0000FF"/>
      <w:u w:val="single"/>
    </w:rPr>
  </w:style>
  <w:style w:type="character" w:styleId="13">
    <w:name w:val="annotation reference"/>
    <w:basedOn w:val="10"/>
    <w:semiHidden/>
    <w:unhideWhenUsed/>
    <w:uiPriority w:val="99"/>
    <w:rPr>
      <w:sz w:val="21"/>
      <w:szCs w:val="21"/>
    </w:rPr>
  </w:style>
  <w:style w:type="character" w:customStyle="1" w:styleId="14">
    <w:name w:val="页眉 字符"/>
    <w:basedOn w:val="10"/>
    <w:link w:val="6"/>
    <w:uiPriority w:val="99"/>
    <w:rPr>
      <w:sz w:val="18"/>
      <w:szCs w:val="18"/>
    </w:rPr>
  </w:style>
  <w:style w:type="character" w:customStyle="1" w:styleId="15">
    <w:name w:val="页脚 字符"/>
    <w:basedOn w:val="10"/>
    <w:link w:val="5"/>
    <w:uiPriority w:val="99"/>
    <w:rPr>
      <w:sz w:val="18"/>
      <w:szCs w:val="18"/>
    </w:r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4"/>
    <w:semiHidden/>
    <w:uiPriority w:val="99"/>
    <w:rPr>
      <w:sz w:val="18"/>
      <w:szCs w:val="18"/>
    </w:rPr>
  </w:style>
  <w:style w:type="paragraph" w:customStyle="1" w:styleId="19">
    <w:name w:val="p0"/>
    <w:basedOn w:val="1"/>
    <w:uiPriority w:val="0"/>
    <w:pPr>
      <w:widowControl/>
      <w:jc w:val="left"/>
    </w:pPr>
    <w:rPr>
      <w:kern w:val="0"/>
      <w:szCs w:val="21"/>
    </w:rPr>
  </w:style>
  <w:style w:type="paragraph" w:styleId="20">
    <w:name w:val="Intense Quote"/>
    <w:basedOn w:val="1"/>
    <w:next w:val="1"/>
    <w:link w:val="21"/>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customStyle="1" w:styleId="21">
    <w:name w:val="明显引用 字符"/>
    <w:basedOn w:val="10"/>
    <w:link w:val="20"/>
    <w:uiPriority w:val="30"/>
    <w:rPr>
      <w:rFonts w:ascii="Times New Roman" w:hAnsi="Times New Roman" w:eastAsia="宋体" w:cs="Times New Roman"/>
      <w:i/>
      <w:iCs/>
      <w:color w:val="5B9BD5" w:themeColor="accent1"/>
      <w:szCs w:val="24"/>
    </w:rPr>
  </w:style>
  <w:style w:type="paragraph" w:styleId="22">
    <w:name w:val="Quote"/>
    <w:basedOn w:val="1"/>
    <w:next w:val="1"/>
    <w:link w:val="23"/>
    <w:qFormat/>
    <w:uiPriority w:val="29"/>
    <w:pPr>
      <w:spacing w:before="200" w:after="160"/>
      <w:ind w:left="864" w:right="864"/>
      <w:jc w:val="center"/>
    </w:pPr>
    <w:rPr>
      <w:i/>
      <w:iCs/>
      <w:color w:val="3F3F3F" w:themeColor="text1" w:themeTint="BF"/>
    </w:rPr>
  </w:style>
  <w:style w:type="character" w:customStyle="1" w:styleId="23">
    <w:name w:val="引用 字符"/>
    <w:basedOn w:val="10"/>
    <w:link w:val="22"/>
    <w:uiPriority w:val="29"/>
    <w:rPr>
      <w:rFonts w:ascii="Times New Roman" w:hAnsi="Times New Roman" w:eastAsia="宋体" w:cs="Times New Roman"/>
      <w:i/>
      <w:iCs/>
      <w:color w:val="3F3F3F" w:themeColor="text1" w:themeTint="BF"/>
      <w:szCs w:val="24"/>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D9030-DAB0-4488-A587-C4D04C3668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3586</Words>
  <Characters>3747</Characters>
  <Lines>31</Lines>
  <Paragraphs>8</Paragraphs>
  <TotalTime>29</TotalTime>
  <ScaleCrop>false</ScaleCrop>
  <LinksUpToDate>false</LinksUpToDate>
  <CharactersWithSpaces>4182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2018-03-22T07:26:00Z</dcterms:created>
  <dc:creator>Microsoft 帐户</dc:creator>
  <cp:lastModifiedBy>廖艺齐</cp:lastModifiedBy>
  <dcterms:modified xsi:type="dcterms:W3CDTF">2025-05-27T03:36:08Z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CD8470C377934BC5A307EEB158813173</vt:lpwstr>
  </property>
</Properties>
</file>