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F00BEEA">
      <w:pPr>
        <w:spacing w:line="440" w:lineRule="exact"/>
        <w:jc w:val="center"/>
        <w:rPr>
          <w:rFonts w:ascii="宋体" w:hAnsi="宋体"/>
          <w:b/>
          <w:sz w:val="28"/>
          <w:szCs w:val="32"/>
        </w:rPr>
      </w:pPr>
      <w:bookmarkStart w:id="0" w:name="_GoBack"/>
      <w:bookmarkEnd w:id="0"/>
      <w:r>
        <w:rPr>
          <w:rFonts w:hint="eastAsia" w:ascii="宋体" w:hAnsi="宋体"/>
          <w:b/>
          <w:sz w:val="28"/>
          <w:szCs w:val="32"/>
        </w:rPr>
        <w:t>南昌大学</w:t>
      </w:r>
      <w:permStart w:id="0" w:edGrp="everyone"/>
      <w:r>
        <w:rPr>
          <w:rFonts w:hint="eastAsia" w:ascii="宋体" w:hAnsi="宋体"/>
          <w:b/>
          <w:sz w:val="28"/>
          <w:szCs w:val="32"/>
        </w:rPr>
        <w:t>（括号内容：项目申请单位+项目名称）</w:t>
      </w:r>
      <w:permEnd w:id="0"/>
      <w:r>
        <w:rPr>
          <w:rFonts w:hint="eastAsia" w:ascii="宋体" w:hAnsi="宋体"/>
          <w:b/>
          <w:sz w:val="28"/>
          <w:szCs w:val="32"/>
        </w:rPr>
        <w:t>货物采购合同</w:t>
      </w:r>
    </w:p>
    <w:p w14:paraId="2EC6ABD4">
      <w:pPr>
        <w:spacing w:line="440" w:lineRule="exact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合同编号：</w:t>
      </w:r>
      <w:permStart w:id="1" w:edGrp="everyone"/>
    </w:p>
    <w:permEnd w:id="1"/>
    <w:p w14:paraId="4E68915F">
      <w:pPr>
        <w:spacing w:line="440" w:lineRule="exact"/>
        <w:ind w:firstLine="480" w:firstLineChars="20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买方：南昌大学（以下简称甲方）</w:t>
      </w:r>
    </w:p>
    <w:p w14:paraId="741FB1C9">
      <w:pPr>
        <w:spacing w:line="440" w:lineRule="exact"/>
        <w:ind w:firstLine="480" w:firstLineChars="20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卖方：</w:t>
      </w:r>
      <w:permStart w:id="2" w:edGrp="everyone"/>
      <w:r>
        <w:rPr>
          <w:rFonts w:hint="eastAsia" w:ascii="宋体" w:hAnsi="宋体"/>
          <w:sz w:val="24"/>
          <w:u w:val="single"/>
        </w:rPr>
        <w:t xml:space="preserve">        </w:t>
      </w:r>
      <w:permEnd w:id="2"/>
      <w:r>
        <w:rPr>
          <w:rFonts w:hint="eastAsia" w:ascii="宋体" w:hAnsi="宋体"/>
          <w:sz w:val="24"/>
        </w:rPr>
        <w:t>（以下简称乙方）</w:t>
      </w:r>
    </w:p>
    <w:p w14:paraId="5DB83FE8">
      <w:pPr>
        <w:spacing w:line="440" w:lineRule="exact"/>
        <w:ind w:firstLine="480" w:firstLineChars="20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为保护甲乙双方的合法权益，根据《中华人民共和国政府采购法》、《中华人民共和国民法典》及其他相关法律规定，遵循平等、自愿、公平和诚实信用的原则，经双方友好协商，现就甲方购买乙方货物相关事宜订立本合同，供双方共同恪守。</w:t>
      </w:r>
    </w:p>
    <w:p w14:paraId="6718D8F4">
      <w:pPr>
        <w:spacing w:line="440" w:lineRule="exact"/>
        <w:ind w:firstLine="482" w:firstLineChars="200"/>
        <w:rPr>
          <w:rFonts w:ascii="宋体" w:hAnsi="宋体"/>
          <w:b/>
          <w:sz w:val="24"/>
        </w:rPr>
      </w:pPr>
      <w:r>
        <w:rPr>
          <w:rFonts w:hint="eastAsia" w:ascii="宋体" w:hAnsi="宋体"/>
          <w:b/>
          <w:sz w:val="24"/>
        </w:rPr>
        <w:t>一、合同标的</w:t>
      </w:r>
    </w:p>
    <w:tbl>
      <w:tblPr>
        <w:tblStyle w:val="8"/>
        <w:tblW w:w="8222" w:type="dxa"/>
        <w:tblInd w:w="25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1"/>
        <w:gridCol w:w="1707"/>
        <w:gridCol w:w="1206"/>
        <w:gridCol w:w="1440"/>
        <w:gridCol w:w="302"/>
        <w:gridCol w:w="1138"/>
        <w:gridCol w:w="727"/>
        <w:gridCol w:w="851"/>
      </w:tblGrid>
      <w:tr w14:paraId="3A9E1A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</w:trPr>
        <w:tc>
          <w:tcPr>
            <w:tcW w:w="851" w:type="dxa"/>
            <w:tcBorders>
              <w:top w:val="single" w:color="auto" w:sz="4" w:space="0"/>
            </w:tcBorders>
            <w:vAlign w:val="center"/>
          </w:tcPr>
          <w:p w14:paraId="6559D76D">
            <w:pPr>
              <w:spacing w:line="440" w:lineRule="exact"/>
              <w:rPr>
                <w:rFonts w:ascii="宋体" w:hAnsi="宋体"/>
                <w:sz w:val="24"/>
              </w:rPr>
            </w:pPr>
            <w:permStart w:id="3" w:edGrp="everyone" w:colFirst="0" w:colLast="0"/>
            <w:permStart w:id="4" w:edGrp="everyone" w:colFirst="1" w:colLast="1"/>
            <w:permStart w:id="5" w:edGrp="everyone" w:colFirst="2" w:colLast="2"/>
            <w:permStart w:id="6" w:edGrp="everyone" w:colFirst="3" w:colLast="3"/>
            <w:permStart w:id="7" w:edGrp="everyone" w:colFirst="4" w:colLast="4"/>
            <w:permStart w:id="8" w:edGrp="everyone" w:colFirst="5" w:colLast="5"/>
            <w:permStart w:id="9" w:edGrp="everyone" w:colFirst="6" w:colLast="6"/>
            <w:permStart w:id="10" w:edGrp="everyone" w:colFirst="7" w:colLast="7"/>
            <w:r>
              <w:rPr>
                <w:rFonts w:hint="eastAsia" w:ascii="宋体" w:hAnsi="宋体"/>
                <w:sz w:val="24"/>
              </w:rPr>
              <w:t>序号</w:t>
            </w:r>
          </w:p>
        </w:tc>
        <w:tc>
          <w:tcPr>
            <w:tcW w:w="1707" w:type="dxa"/>
            <w:vAlign w:val="center"/>
          </w:tcPr>
          <w:p w14:paraId="19ADEFB8">
            <w:pPr>
              <w:spacing w:line="440" w:lineRule="exac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货物名称</w:t>
            </w:r>
          </w:p>
        </w:tc>
        <w:tc>
          <w:tcPr>
            <w:tcW w:w="1206" w:type="dxa"/>
            <w:vAlign w:val="center"/>
          </w:tcPr>
          <w:p w14:paraId="1D6C33B3">
            <w:pPr>
              <w:spacing w:line="440" w:lineRule="exac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型号</w:t>
            </w:r>
          </w:p>
        </w:tc>
        <w:tc>
          <w:tcPr>
            <w:tcW w:w="1440" w:type="dxa"/>
            <w:vAlign w:val="center"/>
          </w:tcPr>
          <w:p w14:paraId="5913DC81">
            <w:pPr>
              <w:spacing w:line="440" w:lineRule="exac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配置</w:t>
            </w:r>
          </w:p>
        </w:tc>
        <w:tc>
          <w:tcPr>
            <w:tcW w:w="1440" w:type="dxa"/>
            <w:gridSpan w:val="2"/>
            <w:vAlign w:val="center"/>
          </w:tcPr>
          <w:p w14:paraId="5FF3814E">
            <w:pPr>
              <w:spacing w:line="440" w:lineRule="exac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单价（元）</w:t>
            </w:r>
          </w:p>
        </w:tc>
        <w:tc>
          <w:tcPr>
            <w:tcW w:w="727" w:type="dxa"/>
            <w:vAlign w:val="center"/>
          </w:tcPr>
          <w:p w14:paraId="680CC177">
            <w:pPr>
              <w:spacing w:line="440" w:lineRule="exac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数量</w:t>
            </w:r>
          </w:p>
        </w:tc>
        <w:tc>
          <w:tcPr>
            <w:tcW w:w="851" w:type="dxa"/>
            <w:vAlign w:val="center"/>
          </w:tcPr>
          <w:p w14:paraId="52FF9883">
            <w:pPr>
              <w:spacing w:line="440" w:lineRule="exac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小计（元）</w:t>
            </w:r>
          </w:p>
        </w:tc>
      </w:tr>
      <w:permEnd w:id="3"/>
      <w:permEnd w:id="4"/>
      <w:permEnd w:id="5"/>
      <w:permEnd w:id="6"/>
      <w:permEnd w:id="7"/>
      <w:permEnd w:id="8"/>
      <w:permEnd w:id="9"/>
      <w:permEnd w:id="10"/>
      <w:tr w14:paraId="63B808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851" w:type="dxa"/>
            <w:vAlign w:val="center"/>
          </w:tcPr>
          <w:p w14:paraId="6AE02598">
            <w:pPr>
              <w:spacing w:line="440" w:lineRule="exact"/>
              <w:rPr>
                <w:rFonts w:ascii="宋体" w:hAnsi="宋体"/>
                <w:sz w:val="24"/>
              </w:rPr>
            </w:pPr>
            <w:permStart w:id="11" w:edGrp="everyone" w:colFirst="0" w:colLast="0"/>
            <w:permStart w:id="12" w:edGrp="everyone" w:colFirst="1" w:colLast="1"/>
            <w:permStart w:id="13" w:edGrp="everyone" w:colFirst="2" w:colLast="2"/>
            <w:permStart w:id="14" w:edGrp="everyone" w:colFirst="3" w:colLast="3"/>
            <w:permStart w:id="15" w:edGrp="everyone" w:colFirst="4" w:colLast="4"/>
            <w:permStart w:id="16" w:edGrp="everyone" w:colFirst="5" w:colLast="5"/>
            <w:permStart w:id="17" w:edGrp="everyone" w:colFirst="6" w:colLast="6"/>
            <w:permStart w:id="18" w:edGrp="everyone" w:colFirst="7" w:colLast="7"/>
          </w:p>
        </w:tc>
        <w:tc>
          <w:tcPr>
            <w:tcW w:w="1707" w:type="dxa"/>
            <w:vAlign w:val="center"/>
          </w:tcPr>
          <w:p w14:paraId="2CFD2C5F">
            <w:pPr>
              <w:spacing w:line="440" w:lineRule="exact"/>
              <w:rPr>
                <w:rFonts w:ascii="宋体" w:hAnsi="宋体"/>
                <w:sz w:val="24"/>
              </w:rPr>
            </w:pPr>
          </w:p>
        </w:tc>
        <w:tc>
          <w:tcPr>
            <w:tcW w:w="1206" w:type="dxa"/>
            <w:vAlign w:val="center"/>
          </w:tcPr>
          <w:p w14:paraId="62853F59">
            <w:pPr>
              <w:spacing w:line="440" w:lineRule="exact"/>
              <w:rPr>
                <w:rFonts w:ascii="宋体" w:hAnsi="宋体"/>
                <w:sz w:val="24"/>
              </w:rPr>
            </w:pPr>
          </w:p>
        </w:tc>
        <w:tc>
          <w:tcPr>
            <w:tcW w:w="1440" w:type="dxa"/>
            <w:vAlign w:val="center"/>
          </w:tcPr>
          <w:p w14:paraId="30027B2B">
            <w:pPr>
              <w:spacing w:line="440" w:lineRule="exact"/>
              <w:rPr>
                <w:rFonts w:ascii="宋体" w:hAnsi="宋体"/>
                <w:sz w:val="24"/>
              </w:rPr>
            </w:pPr>
          </w:p>
        </w:tc>
        <w:tc>
          <w:tcPr>
            <w:tcW w:w="1440" w:type="dxa"/>
            <w:gridSpan w:val="2"/>
            <w:vAlign w:val="center"/>
          </w:tcPr>
          <w:p w14:paraId="50F2E1A8">
            <w:pPr>
              <w:spacing w:line="440" w:lineRule="exact"/>
              <w:rPr>
                <w:rFonts w:ascii="宋体" w:hAnsi="宋体"/>
                <w:sz w:val="24"/>
              </w:rPr>
            </w:pPr>
          </w:p>
        </w:tc>
        <w:tc>
          <w:tcPr>
            <w:tcW w:w="727" w:type="dxa"/>
            <w:vAlign w:val="center"/>
          </w:tcPr>
          <w:p w14:paraId="472D271F">
            <w:pPr>
              <w:spacing w:line="440" w:lineRule="exact"/>
              <w:rPr>
                <w:rFonts w:ascii="宋体" w:hAnsi="宋体"/>
                <w:sz w:val="24"/>
              </w:rPr>
            </w:pPr>
          </w:p>
        </w:tc>
        <w:tc>
          <w:tcPr>
            <w:tcW w:w="851" w:type="dxa"/>
            <w:vAlign w:val="center"/>
          </w:tcPr>
          <w:p w14:paraId="0577ED34">
            <w:pPr>
              <w:spacing w:line="440" w:lineRule="exact"/>
              <w:rPr>
                <w:rFonts w:ascii="宋体" w:hAnsi="宋体"/>
                <w:sz w:val="24"/>
              </w:rPr>
            </w:pPr>
          </w:p>
        </w:tc>
      </w:tr>
      <w:permEnd w:id="11"/>
      <w:permEnd w:id="12"/>
      <w:permEnd w:id="13"/>
      <w:permEnd w:id="14"/>
      <w:permEnd w:id="15"/>
      <w:permEnd w:id="16"/>
      <w:permEnd w:id="17"/>
      <w:permEnd w:id="18"/>
      <w:tr w14:paraId="78501D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</w:trPr>
        <w:tc>
          <w:tcPr>
            <w:tcW w:w="851" w:type="dxa"/>
            <w:vAlign w:val="center"/>
          </w:tcPr>
          <w:p w14:paraId="0796053F">
            <w:pPr>
              <w:spacing w:line="440" w:lineRule="exact"/>
              <w:rPr>
                <w:rFonts w:ascii="宋体" w:hAnsi="宋体"/>
                <w:sz w:val="24"/>
              </w:rPr>
            </w:pPr>
            <w:permStart w:id="19" w:edGrp="everyone" w:colFirst="0" w:colLast="0"/>
            <w:permStart w:id="20" w:edGrp="everyone" w:colFirst="1" w:colLast="1"/>
            <w:permStart w:id="21" w:edGrp="everyone" w:colFirst="2" w:colLast="2"/>
            <w:permStart w:id="22" w:edGrp="everyone" w:colFirst="3" w:colLast="3"/>
            <w:permStart w:id="23" w:edGrp="everyone" w:colFirst="4" w:colLast="4"/>
            <w:permStart w:id="24" w:edGrp="everyone" w:colFirst="5" w:colLast="5"/>
            <w:permStart w:id="25" w:edGrp="everyone" w:colFirst="6" w:colLast="6"/>
            <w:permStart w:id="26" w:edGrp="everyone" w:colFirst="7" w:colLast="7"/>
          </w:p>
        </w:tc>
        <w:tc>
          <w:tcPr>
            <w:tcW w:w="1707" w:type="dxa"/>
            <w:vAlign w:val="center"/>
          </w:tcPr>
          <w:p w14:paraId="65D499CC">
            <w:pPr>
              <w:spacing w:line="440" w:lineRule="exact"/>
              <w:rPr>
                <w:rFonts w:ascii="宋体" w:hAnsi="宋体"/>
                <w:sz w:val="24"/>
              </w:rPr>
            </w:pPr>
          </w:p>
        </w:tc>
        <w:tc>
          <w:tcPr>
            <w:tcW w:w="1206" w:type="dxa"/>
            <w:vAlign w:val="center"/>
          </w:tcPr>
          <w:p w14:paraId="525FF8BF">
            <w:pPr>
              <w:spacing w:line="440" w:lineRule="exact"/>
              <w:rPr>
                <w:rFonts w:ascii="宋体" w:hAnsi="宋体"/>
                <w:sz w:val="24"/>
              </w:rPr>
            </w:pPr>
          </w:p>
        </w:tc>
        <w:tc>
          <w:tcPr>
            <w:tcW w:w="1440" w:type="dxa"/>
            <w:vAlign w:val="center"/>
          </w:tcPr>
          <w:p w14:paraId="5159F2E6">
            <w:pPr>
              <w:spacing w:line="440" w:lineRule="exact"/>
              <w:rPr>
                <w:rFonts w:ascii="宋体" w:hAnsi="宋体"/>
                <w:sz w:val="24"/>
              </w:rPr>
            </w:pPr>
          </w:p>
        </w:tc>
        <w:tc>
          <w:tcPr>
            <w:tcW w:w="1440" w:type="dxa"/>
            <w:gridSpan w:val="2"/>
            <w:vAlign w:val="center"/>
          </w:tcPr>
          <w:p w14:paraId="4DBB6109">
            <w:pPr>
              <w:spacing w:line="440" w:lineRule="exact"/>
              <w:rPr>
                <w:rFonts w:ascii="宋体" w:hAnsi="宋体"/>
                <w:sz w:val="24"/>
              </w:rPr>
            </w:pPr>
          </w:p>
        </w:tc>
        <w:tc>
          <w:tcPr>
            <w:tcW w:w="727" w:type="dxa"/>
            <w:vAlign w:val="center"/>
          </w:tcPr>
          <w:p w14:paraId="7D2BD958">
            <w:pPr>
              <w:spacing w:line="440" w:lineRule="exact"/>
              <w:rPr>
                <w:rFonts w:ascii="宋体" w:hAnsi="宋体"/>
                <w:sz w:val="24"/>
              </w:rPr>
            </w:pPr>
          </w:p>
        </w:tc>
        <w:tc>
          <w:tcPr>
            <w:tcW w:w="851" w:type="dxa"/>
            <w:vAlign w:val="center"/>
          </w:tcPr>
          <w:p w14:paraId="09687D00">
            <w:pPr>
              <w:spacing w:line="440" w:lineRule="exact"/>
              <w:rPr>
                <w:rFonts w:ascii="宋体" w:hAnsi="宋体"/>
                <w:sz w:val="24"/>
              </w:rPr>
            </w:pPr>
          </w:p>
        </w:tc>
      </w:tr>
      <w:permEnd w:id="19"/>
      <w:permEnd w:id="20"/>
      <w:permEnd w:id="21"/>
      <w:permEnd w:id="22"/>
      <w:permEnd w:id="23"/>
      <w:permEnd w:id="24"/>
      <w:permEnd w:id="25"/>
      <w:permEnd w:id="26"/>
      <w:tr w14:paraId="09CB2E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</w:trPr>
        <w:tc>
          <w:tcPr>
            <w:tcW w:w="851" w:type="dxa"/>
            <w:vAlign w:val="center"/>
          </w:tcPr>
          <w:p w14:paraId="66261F22">
            <w:pPr>
              <w:spacing w:line="440" w:lineRule="exact"/>
              <w:rPr>
                <w:rFonts w:ascii="宋体" w:hAnsi="宋体"/>
                <w:sz w:val="24"/>
              </w:rPr>
            </w:pPr>
            <w:permStart w:id="27" w:edGrp="everyone" w:colFirst="0" w:colLast="0"/>
            <w:permStart w:id="28" w:edGrp="everyone" w:colFirst="1" w:colLast="1"/>
            <w:permStart w:id="29" w:edGrp="everyone" w:colFirst="2" w:colLast="2"/>
            <w:permStart w:id="30" w:edGrp="everyone" w:colFirst="3" w:colLast="3"/>
            <w:permStart w:id="31" w:edGrp="everyone" w:colFirst="4" w:colLast="4"/>
            <w:permStart w:id="32" w:edGrp="everyone" w:colFirst="5" w:colLast="5"/>
            <w:permStart w:id="33" w:edGrp="everyone" w:colFirst="6" w:colLast="6"/>
            <w:permStart w:id="34" w:edGrp="everyone" w:colFirst="7" w:colLast="7"/>
          </w:p>
        </w:tc>
        <w:tc>
          <w:tcPr>
            <w:tcW w:w="1707" w:type="dxa"/>
            <w:vAlign w:val="center"/>
          </w:tcPr>
          <w:p w14:paraId="6D7D2478">
            <w:pPr>
              <w:spacing w:line="440" w:lineRule="exact"/>
              <w:rPr>
                <w:rFonts w:ascii="宋体" w:hAnsi="宋体"/>
                <w:sz w:val="24"/>
              </w:rPr>
            </w:pPr>
          </w:p>
        </w:tc>
        <w:tc>
          <w:tcPr>
            <w:tcW w:w="1206" w:type="dxa"/>
            <w:vAlign w:val="center"/>
          </w:tcPr>
          <w:p w14:paraId="79251BD2">
            <w:pPr>
              <w:spacing w:line="440" w:lineRule="exact"/>
              <w:rPr>
                <w:rFonts w:ascii="宋体" w:hAnsi="宋体"/>
                <w:sz w:val="24"/>
              </w:rPr>
            </w:pPr>
          </w:p>
        </w:tc>
        <w:tc>
          <w:tcPr>
            <w:tcW w:w="1440" w:type="dxa"/>
            <w:vAlign w:val="center"/>
          </w:tcPr>
          <w:p w14:paraId="3C211DBC">
            <w:pPr>
              <w:spacing w:line="440" w:lineRule="exact"/>
              <w:rPr>
                <w:rFonts w:ascii="宋体" w:hAnsi="宋体"/>
                <w:sz w:val="24"/>
              </w:rPr>
            </w:pPr>
          </w:p>
        </w:tc>
        <w:tc>
          <w:tcPr>
            <w:tcW w:w="1440" w:type="dxa"/>
            <w:gridSpan w:val="2"/>
            <w:vAlign w:val="center"/>
          </w:tcPr>
          <w:p w14:paraId="17F73BBF">
            <w:pPr>
              <w:spacing w:line="440" w:lineRule="exact"/>
              <w:rPr>
                <w:rFonts w:ascii="宋体" w:hAnsi="宋体"/>
                <w:sz w:val="24"/>
              </w:rPr>
            </w:pPr>
          </w:p>
        </w:tc>
        <w:tc>
          <w:tcPr>
            <w:tcW w:w="727" w:type="dxa"/>
            <w:vAlign w:val="center"/>
          </w:tcPr>
          <w:p w14:paraId="5CA57250">
            <w:pPr>
              <w:spacing w:line="440" w:lineRule="exact"/>
              <w:rPr>
                <w:rFonts w:ascii="宋体" w:hAnsi="宋体"/>
                <w:sz w:val="24"/>
              </w:rPr>
            </w:pPr>
          </w:p>
        </w:tc>
        <w:tc>
          <w:tcPr>
            <w:tcW w:w="851" w:type="dxa"/>
            <w:vAlign w:val="center"/>
          </w:tcPr>
          <w:p w14:paraId="6147D784">
            <w:pPr>
              <w:spacing w:line="440" w:lineRule="exact"/>
              <w:rPr>
                <w:rFonts w:ascii="宋体" w:hAnsi="宋体"/>
                <w:sz w:val="24"/>
              </w:rPr>
            </w:pPr>
          </w:p>
        </w:tc>
      </w:tr>
      <w:permEnd w:id="27"/>
      <w:permEnd w:id="28"/>
      <w:permEnd w:id="29"/>
      <w:permEnd w:id="30"/>
      <w:permEnd w:id="31"/>
      <w:permEnd w:id="32"/>
      <w:permEnd w:id="33"/>
      <w:permEnd w:id="34"/>
      <w:tr w14:paraId="120A2E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851" w:type="dxa"/>
            <w:vAlign w:val="center"/>
          </w:tcPr>
          <w:p w14:paraId="78F437F2">
            <w:pPr>
              <w:spacing w:line="440" w:lineRule="exac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合计</w:t>
            </w:r>
          </w:p>
        </w:tc>
        <w:tc>
          <w:tcPr>
            <w:tcW w:w="4655" w:type="dxa"/>
            <w:gridSpan w:val="4"/>
            <w:vAlign w:val="center"/>
          </w:tcPr>
          <w:p w14:paraId="09FAC64F">
            <w:pPr>
              <w:spacing w:line="440" w:lineRule="exac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人民币</w:t>
            </w:r>
            <w:permStart w:id="35" w:edGrp="everyone"/>
            <w:r>
              <w:rPr>
                <w:rFonts w:hint="eastAsia" w:ascii="宋体" w:hAnsi="宋体"/>
                <w:sz w:val="24"/>
                <w:u w:val="single"/>
              </w:rPr>
              <w:t xml:space="preserve">           </w:t>
            </w:r>
            <w:permEnd w:id="35"/>
            <w:r>
              <w:rPr>
                <w:rFonts w:hint="eastAsia" w:ascii="宋体" w:hAnsi="宋体"/>
                <w:sz w:val="24"/>
              </w:rPr>
              <w:t>元整（含税）</w:t>
            </w:r>
          </w:p>
        </w:tc>
        <w:tc>
          <w:tcPr>
            <w:tcW w:w="2716" w:type="dxa"/>
            <w:gridSpan w:val="3"/>
            <w:vAlign w:val="center"/>
          </w:tcPr>
          <w:p w14:paraId="7C9F280D">
            <w:pPr>
              <w:spacing w:line="440" w:lineRule="exac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￥</w:t>
            </w:r>
            <w:permStart w:id="36" w:edGrp="everyone"/>
            <w:r>
              <w:rPr>
                <w:rFonts w:hint="eastAsia" w:ascii="宋体" w:hAnsi="宋体"/>
                <w:sz w:val="24"/>
                <w:u w:val="single"/>
              </w:rPr>
              <w:t xml:space="preserve">      </w:t>
            </w:r>
            <w:permEnd w:id="36"/>
            <w:r>
              <w:rPr>
                <w:rFonts w:hint="eastAsia" w:ascii="宋体" w:hAnsi="宋体"/>
                <w:sz w:val="24"/>
                <w:u w:val="single"/>
              </w:rPr>
              <w:t>.00</w:t>
            </w:r>
          </w:p>
        </w:tc>
      </w:tr>
    </w:tbl>
    <w:p w14:paraId="63E976B9">
      <w:pPr>
        <w:spacing w:line="440" w:lineRule="exact"/>
        <w:ind w:firstLine="482" w:firstLineChars="200"/>
        <w:rPr>
          <w:rFonts w:ascii="宋体" w:hAnsi="宋体"/>
          <w:b/>
          <w:sz w:val="24"/>
        </w:rPr>
      </w:pPr>
      <w:r>
        <w:rPr>
          <w:rFonts w:hint="eastAsia" w:ascii="宋体" w:hAnsi="宋体"/>
          <w:b/>
          <w:sz w:val="24"/>
          <w:highlight w:val="yellow"/>
        </w:rPr>
        <w:t>注：本合同价格已包含购买商品的价格及可能产生的安装、调试、保修、售后服务及将商品运至指定地点所发生的运费、装卸费，和所需缴纳的一切相关税费。</w:t>
      </w:r>
    </w:p>
    <w:p w14:paraId="330BD9C6">
      <w:pPr>
        <w:spacing w:line="440" w:lineRule="exact"/>
        <w:ind w:firstLine="482" w:firstLineChars="200"/>
        <w:rPr>
          <w:rFonts w:ascii="宋体" w:hAnsi="宋体"/>
          <w:b/>
          <w:sz w:val="24"/>
        </w:rPr>
      </w:pPr>
      <w:r>
        <w:rPr>
          <w:rFonts w:hint="eastAsia" w:ascii="宋体" w:hAnsi="宋体"/>
          <w:b/>
          <w:sz w:val="24"/>
        </w:rPr>
        <w:t>二、货物交付</w:t>
      </w:r>
    </w:p>
    <w:p w14:paraId="1017B6D0">
      <w:pPr>
        <w:spacing w:line="440" w:lineRule="exact"/>
        <w:ind w:firstLine="480" w:firstLineChars="20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乙方自本合同签订之日起</w:t>
      </w:r>
      <w:permStart w:id="37" w:edGrp="everyone"/>
      <w:r>
        <w:rPr>
          <w:rFonts w:hint="eastAsia" w:ascii="宋体" w:hAnsi="宋体"/>
          <w:sz w:val="24"/>
          <w:u w:val="single"/>
        </w:rPr>
        <w:t xml:space="preserve">  </w:t>
      </w:r>
      <w:permEnd w:id="37"/>
      <w:r>
        <w:rPr>
          <w:rFonts w:hint="eastAsia" w:ascii="宋体" w:hAnsi="宋体"/>
          <w:sz w:val="24"/>
        </w:rPr>
        <w:t>个工作日内</w:t>
      </w:r>
      <w:permStart w:id="38" w:edGrp="everyone"/>
      <w:r>
        <w:rPr>
          <w:rFonts w:hint="eastAsia" w:ascii="宋体" w:hAnsi="宋体"/>
          <w:sz w:val="24"/>
        </w:rPr>
        <w:t>（此处甲方也可根据实际需求具体到某年某月某日之前），</w:t>
      </w:r>
      <w:permEnd w:id="38"/>
      <w:r>
        <w:rPr>
          <w:rFonts w:hint="eastAsia" w:ascii="宋体" w:hAnsi="宋体"/>
          <w:sz w:val="24"/>
        </w:rPr>
        <w:t>将全部货物送达</w:t>
      </w:r>
      <w:r>
        <w:rPr>
          <w:rFonts w:hint="eastAsia" w:ascii="宋体" w:hAnsi="宋体"/>
          <w:sz w:val="24"/>
          <w:u w:val="single"/>
        </w:rPr>
        <w:t xml:space="preserve">        (</w:t>
      </w:r>
      <w:r>
        <w:rPr>
          <w:rFonts w:hint="eastAsia" w:ascii="宋体" w:hAnsi="宋体"/>
          <w:sz w:val="24"/>
        </w:rPr>
        <w:t>甲方指定的地点)。货物送达后</w:t>
      </w:r>
      <w:permStart w:id="39" w:edGrp="everyone"/>
      <w:r>
        <w:rPr>
          <w:rFonts w:hint="eastAsia" w:ascii="宋体" w:hAnsi="宋体"/>
          <w:sz w:val="24"/>
          <w:u w:val="single"/>
        </w:rPr>
        <w:t xml:space="preserve">   </w:t>
      </w:r>
      <w:permEnd w:id="39"/>
      <w:r>
        <w:rPr>
          <w:rFonts w:hint="eastAsia" w:ascii="宋体" w:hAnsi="宋体"/>
          <w:sz w:val="24"/>
        </w:rPr>
        <w:t>个工作日内由甲方组织人员进行验收。</w:t>
      </w:r>
      <w:r>
        <w:rPr>
          <w:rFonts w:hint="eastAsia" w:ascii="宋体" w:hAnsi="宋体"/>
          <w:sz w:val="24"/>
          <w:highlight w:val="yellow"/>
        </w:rPr>
        <w:t>甲方确认验收合格前，乙方应承担商品在交付甲方且由甲方验收合格前的一切风险，除非货损是由甲方明显不当的作为所引起，但该作为不包括验收行为。</w:t>
      </w:r>
    </w:p>
    <w:p w14:paraId="32868504">
      <w:pPr>
        <w:spacing w:line="440" w:lineRule="exact"/>
        <w:ind w:firstLine="482" w:firstLineChars="200"/>
        <w:rPr>
          <w:rFonts w:ascii="宋体" w:hAnsi="宋体"/>
          <w:b/>
          <w:sz w:val="24"/>
        </w:rPr>
      </w:pPr>
      <w:r>
        <w:rPr>
          <w:rFonts w:hint="eastAsia" w:ascii="宋体" w:hAnsi="宋体"/>
          <w:b/>
          <w:sz w:val="24"/>
        </w:rPr>
        <w:t>三、验收标准</w:t>
      </w:r>
    </w:p>
    <w:p w14:paraId="0F661A26">
      <w:pPr>
        <w:spacing w:line="440" w:lineRule="exact"/>
        <w:ind w:firstLine="480" w:firstLineChars="200"/>
        <w:rPr>
          <w:rFonts w:ascii="宋体" w:hAnsi="宋体"/>
          <w:sz w:val="24"/>
        </w:rPr>
      </w:pPr>
      <w:r>
        <w:rPr>
          <w:rFonts w:hint="eastAsia" w:ascii="宋体" w:hAnsi="宋体"/>
          <w:sz w:val="24"/>
          <w:highlight w:val="yellow"/>
        </w:rPr>
        <w:t>1、交付的货物应符合国家和有关安全、环保、卫生之规定，应符合竞价要约中质量、技术、服务、检验、验收的全部相关内容或其所指引的内容。</w:t>
      </w:r>
    </w:p>
    <w:p w14:paraId="62F7F860">
      <w:pPr>
        <w:spacing w:line="440" w:lineRule="exact"/>
        <w:ind w:firstLine="480" w:firstLineChars="20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2、乙方保证提供给甲方的货物是产品原生产厂商制造的，是全新、未使用过的并完全符合甲方在采购时提出的需求。</w:t>
      </w:r>
      <w:r>
        <w:rPr>
          <w:rFonts w:hint="eastAsia" w:ascii="宋体" w:hAnsi="宋体"/>
          <w:sz w:val="24"/>
          <w:highlight w:val="yellow"/>
        </w:rPr>
        <w:t>交付的货物清单中应包括质量合格证书、保修证书、产品使用说明及其它必要的技术资料。</w:t>
      </w:r>
    </w:p>
    <w:p w14:paraId="17E0F5BF">
      <w:pPr>
        <w:spacing w:line="440" w:lineRule="exact"/>
        <w:ind w:firstLine="482" w:firstLineChars="200"/>
        <w:rPr>
          <w:rFonts w:ascii="宋体" w:hAnsi="宋体"/>
          <w:b/>
          <w:sz w:val="24"/>
        </w:rPr>
      </w:pPr>
      <w:r>
        <w:rPr>
          <w:rFonts w:hint="eastAsia" w:ascii="宋体" w:hAnsi="宋体"/>
          <w:b/>
          <w:sz w:val="24"/>
        </w:rPr>
        <w:t>四、售后服务</w:t>
      </w:r>
    </w:p>
    <w:p w14:paraId="58D073DD">
      <w:pPr>
        <w:spacing w:line="440" w:lineRule="exact"/>
        <w:ind w:firstLine="480" w:firstLineChars="20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自货物验收合格之日起，乙方对所供货物提供</w:t>
      </w:r>
      <w:permStart w:id="40" w:edGrp="everyone"/>
      <w:r>
        <w:rPr>
          <w:rFonts w:hint="eastAsia" w:ascii="宋体" w:hAnsi="宋体"/>
          <w:sz w:val="24"/>
          <w:u w:val="single"/>
        </w:rPr>
        <w:t xml:space="preserve">   </w:t>
      </w:r>
      <w:permEnd w:id="40"/>
      <w:r>
        <w:rPr>
          <w:rFonts w:hint="eastAsia" w:ascii="宋体" w:hAnsi="宋体"/>
          <w:sz w:val="24"/>
        </w:rPr>
        <w:t>月</w:t>
      </w:r>
      <w:permStart w:id="41" w:edGrp="everyone"/>
      <w:r>
        <w:rPr>
          <w:rFonts w:hint="eastAsia" w:ascii="宋体" w:hAnsi="宋体"/>
          <w:sz w:val="24"/>
        </w:rPr>
        <w:t>（具体由甲乙双方协商确定，但最少不应低于六个月）</w:t>
      </w:r>
      <w:permEnd w:id="41"/>
      <w:r>
        <w:rPr>
          <w:rFonts w:hint="eastAsia" w:ascii="宋体" w:hAnsi="宋体"/>
          <w:sz w:val="24"/>
        </w:rPr>
        <w:t>的保修期，保修期内乙方免费修理、更换，若乙方不进行免费修理、更换，甲方有权自行聘请第三方进行修理、更换，所产生的一切费用均由乙方承担。</w:t>
      </w:r>
    </w:p>
    <w:p w14:paraId="2AF51D4D">
      <w:pPr>
        <w:spacing w:line="440" w:lineRule="exact"/>
        <w:ind w:firstLine="482" w:firstLineChars="200"/>
        <w:rPr>
          <w:rFonts w:ascii="宋体" w:hAnsi="宋体"/>
          <w:b/>
          <w:sz w:val="24"/>
        </w:rPr>
      </w:pPr>
      <w:r>
        <w:rPr>
          <w:rFonts w:hint="eastAsia" w:ascii="宋体" w:hAnsi="宋体"/>
          <w:b/>
          <w:sz w:val="24"/>
        </w:rPr>
        <w:t>五、付款方式</w:t>
      </w:r>
    </w:p>
    <w:p w14:paraId="4B1B18CD">
      <w:pPr>
        <w:spacing w:line="440" w:lineRule="exact"/>
        <w:ind w:firstLine="480" w:firstLineChars="20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1、甲方自货物验收合格之日起</w:t>
      </w:r>
      <w:permStart w:id="42" w:edGrp="everyone"/>
      <w:r>
        <w:rPr>
          <w:rFonts w:hint="eastAsia" w:ascii="宋体" w:hAnsi="宋体"/>
          <w:sz w:val="24"/>
          <w:u w:val="single"/>
        </w:rPr>
        <w:t xml:space="preserve">   </w:t>
      </w:r>
      <w:permEnd w:id="42"/>
      <w:r>
        <w:rPr>
          <w:rFonts w:hint="eastAsia" w:ascii="宋体" w:hAnsi="宋体"/>
          <w:sz w:val="24"/>
        </w:rPr>
        <w:t>个工作日内，将全部货款一次性转账支付给乙方。</w:t>
      </w:r>
    </w:p>
    <w:p w14:paraId="48F723E3">
      <w:pPr>
        <w:spacing w:line="440" w:lineRule="exact"/>
        <w:ind w:firstLine="480" w:firstLineChars="20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2、甲方付款前有权要求乙方开具合法、等额的正规</w:t>
      </w:r>
      <w:r>
        <w:rPr>
          <w:rFonts w:hint="eastAsia" w:ascii="宋体" w:hAnsi="宋体"/>
          <w:b/>
          <w:sz w:val="24"/>
        </w:rPr>
        <w:t>增值税专用发票</w:t>
      </w:r>
      <w:r>
        <w:rPr>
          <w:rFonts w:hint="eastAsia" w:ascii="宋体" w:hAnsi="宋体"/>
          <w:sz w:val="24"/>
        </w:rPr>
        <w:t>，否则甲方有权拒绝付款并无需承担违约责任。</w:t>
      </w:r>
    </w:p>
    <w:p w14:paraId="3138A73E">
      <w:pPr>
        <w:spacing w:line="440" w:lineRule="exact"/>
        <w:ind w:firstLine="482" w:firstLineChars="200"/>
        <w:rPr>
          <w:rFonts w:ascii="宋体" w:hAnsi="宋体"/>
          <w:b/>
          <w:sz w:val="24"/>
        </w:rPr>
      </w:pPr>
      <w:r>
        <w:rPr>
          <w:rFonts w:hint="eastAsia" w:ascii="宋体" w:hAnsi="宋体"/>
          <w:b/>
          <w:sz w:val="24"/>
        </w:rPr>
        <w:t>六、违约责任</w:t>
      </w:r>
    </w:p>
    <w:p w14:paraId="7316D83B">
      <w:pPr>
        <w:spacing w:line="440" w:lineRule="exact"/>
        <w:ind w:firstLine="480" w:firstLineChars="20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1、乙方每逾期交货一日，应按合同货款的千分之六（6‰）向甲方支付违约金。逾期交货十五日，甲方有权单方解除本合同，乙方向甲方支付货款百分之三十（30%）的违约金。</w:t>
      </w:r>
    </w:p>
    <w:p w14:paraId="71357590">
      <w:pPr>
        <w:spacing w:line="440" w:lineRule="exact"/>
        <w:ind w:firstLine="480" w:firstLineChars="20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2、甲方验收发现货物不符合验收标准的，视为乙方未交货，由乙方进行免费更换。乙方交付符合要求货物之日确定为乙方实际交货日，同时按照逾期交货处理。</w:t>
      </w:r>
    </w:p>
    <w:p w14:paraId="24EC170D">
      <w:pPr>
        <w:spacing w:line="440" w:lineRule="exact"/>
        <w:ind w:firstLine="480" w:firstLineChars="20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3、甲方无故逾期支付货款，每逾期一日，应按合同货款的万分之五（0.5‰</w:t>
      </w:r>
      <w:r>
        <w:rPr>
          <w:rFonts w:ascii="宋体" w:hAnsi="宋体"/>
          <w:sz w:val="24"/>
        </w:rPr>
        <w:t>）</w:t>
      </w:r>
      <w:r>
        <w:rPr>
          <w:rFonts w:hint="eastAsia" w:ascii="宋体" w:hAnsi="宋体"/>
          <w:sz w:val="24"/>
        </w:rPr>
        <w:t>向乙方支付违约金。</w:t>
      </w:r>
    </w:p>
    <w:p w14:paraId="3F651606">
      <w:pPr>
        <w:spacing w:line="440" w:lineRule="exact"/>
        <w:ind w:firstLine="482" w:firstLineChars="200"/>
        <w:rPr>
          <w:rFonts w:hint="eastAsia" w:ascii="宋体" w:hAnsi="宋体"/>
          <w:b/>
          <w:sz w:val="24"/>
        </w:rPr>
      </w:pPr>
      <w:r>
        <w:rPr>
          <w:rFonts w:hint="eastAsia" w:ascii="宋体" w:hAnsi="宋体"/>
          <w:b/>
          <w:sz w:val="24"/>
          <w:lang w:val="en-US" w:eastAsia="zh-CN"/>
        </w:rPr>
        <w:t>七</w:t>
      </w:r>
      <w:r>
        <w:rPr>
          <w:rFonts w:hint="eastAsia" w:ascii="宋体" w:hAnsi="宋体"/>
          <w:b/>
          <w:sz w:val="24"/>
          <w:lang w:eastAsia="zh-CN"/>
        </w:rPr>
        <w:t>、</w:t>
      </w:r>
      <w:r>
        <w:rPr>
          <w:rFonts w:hint="eastAsia" w:ascii="宋体" w:hAnsi="宋体"/>
          <w:b/>
          <w:sz w:val="24"/>
        </w:rPr>
        <w:t xml:space="preserve"> 合同文件组成</w:t>
      </w:r>
    </w:p>
    <w:p w14:paraId="181D06AD">
      <w:pPr>
        <w:spacing w:line="440" w:lineRule="exact"/>
        <w:ind w:firstLine="480" w:firstLineChars="200"/>
        <w:rPr>
          <w:rFonts w:hint="eastAsia" w:ascii="宋体" w:hAnsi="宋体"/>
          <w:b w:val="0"/>
          <w:bCs/>
          <w:sz w:val="24"/>
        </w:rPr>
      </w:pPr>
      <w:r>
        <w:rPr>
          <w:rFonts w:hint="eastAsia" w:ascii="宋体" w:hAnsi="宋体"/>
          <w:b w:val="0"/>
          <w:bCs/>
          <w:sz w:val="24"/>
        </w:rPr>
        <w:t>下列文件共同构成本合同，并视为一个整体，彼此相互解释、相互补充。各文件均为本合同不可分割的组成部分，与本合同具有同等法律效力：</w:t>
      </w:r>
    </w:p>
    <w:p w14:paraId="40E3181C">
      <w:pPr>
        <w:spacing w:line="440" w:lineRule="exact"/>
        <w:ind w:firstLine="480" w:firstLineChars="200"/>
        <w:rPr>
          <w:rFonts w:hint="eastAsia" w:ascii="宋体" w:hAnsi="宋体"/>
          <w:b w:val="0"/>
          <w:bCs/>
          <w:sz w:val="24"/>
        </w:rPr>
      </w:pPr>
      <w:r>
        <w:rPr>
          <w:rFonts w:hint="eastAsia" w:ascii="宋体" w:hAnsi="宋体"/>
          <w:b w:val="0"/>
          <w:bCs/>
          <w:sz w:val="24"/>
        </w:rPr>
        <w:t>（1）本合同协议书（含本合同正文及附件）；</w:t>
      </w:r>
    </w:p>
    <w:p w14:paraId="4BE0BA84">
      <w:pPr>
        <w:spacing w:line="440" w:lineRule="exact"/>
        <w:ind w:firstLine="480" w:firstLineChars="200"/>
        <w:rPr>
          <w:rFonts w:hint="eastAsia" w:ascii="宋体" w:hAnsi="宋体"/>
          <w:b w:val="0"/>
          <w:bCs/>
          <w:sz w:val="24"/>
        </w:rPr>
      </w:pPr>
      <w:r>
        <w:rPr>
          <w:rFonts w:hint="eastAsia" w:ascii="宋体" w:hAnsi="宋体"/>
          <w:b w:val="0"/>
          <w:bCs/>
          <w:sz w:val="24"/>
        </w:rPr>
        <w:t>（2）本合同履行过程中双方签署的补充协议、变更协议、会议纪要等书面文件；</w:t>
      </w:r>
    </w:p>
    <w:p w14:paraId="2D52140C">
      <w:pPr>
        <w:spacing w:line="440" w:lineRule="exact"/>
        <w:ind w:firstLine="480" w:firstLineChars="200"/>
        <w:rPr>
          <w:rFonts w:hint="eastAsia" w:ascii="宋体" w:hAnsi="宋体"/>
          <w:b w:val="0"/>
          <w:bCs/>
          <w:sz w:val="24"/>
        </w:rPr>
      </w:pPr>
      <w:r>
        <w:rPr>
          <w:rFonts w:hint="eastAsia" w:ascii="宋体" w:hAnsi="宋体"/>
          <w:b w:val="0"/>
          <w:bCs/>
          <w:sz w:val="24"/>
        </w:rPr>
        <w:t>（3）中标（成交）通知书；</w:t>
      </w:r>
    </w:p>
    <w:p w14:paraId="4AD5FC51">
      <w:pPr>
        <w:spacing w:line="440" w:lineRule="exact"/>
        <w:ind w:firstLine="480" w:firstLineChars="200"/>
        <w:rPr>
          <w:rFonts w:hint="eastAsia" w:ascii="宋体" w:hAnsi="宋体"/>
          <w:b w:val="0"/>
          <w:bCs/>
          <w:sz w:val="24"/>
        </w:rPr>
      </w:pPr>
      <w:r>
        <w:rPr>
          <w:rFonts w:hint="eastAsia" w:ascii="宋体" w:hAnsi="宋体"/>
          <w:b w:val="0"/>
          <w:bCs/>
          <w:sz w:val="24"/>
        </w:rPr>
        <w:t>（4）乙方的投标文件（含投标函、开标一览表、商务和技术偏差表、分项报价表、技术性能指标详细描述、技术服务和质保期服务计划、澄清或说明文件等）；</w:t>
      </w:r>
    </w:p>
    <w:p w14:paraId="6933CF98">
      <w:pPr>
        <w:spacing w:line="440" w:lineRule="exact"/>
        <w:ind w:firstLine="480" w:firstLineChars="200"/>
        <w:rPr>
          <w:rFonts w:hint="eastAsia" w:ascii="宋体" w:hAnsi="宋体"/>
          <w:b w:val="0"/>
          <w:bCs/>
          <w:sz w:val="24"/>
        </w:rPr>
      </w:pPr>
      <w:r>
        <w:rPr>
          <w:rFonts w:hint="eastAsia" w:ascii="宋体" w:hAnsi="宋体"/>
          <w:b w:val="0"/>
          <w:bCs/>
          <w:sz w:val="24"/>
        </w:rPr>
        <w:t>（5）甲方的招标文件（含招标公告/投标邀请、采购需求、投标人须知、评标标准、澄清或修改文件、答疑纪要等）；</w:t>
      </w:r>
    </w:p>
    <w:p w14:paraId="72FAD42C">
      <w:pPr>
        <w:spacing w:line="440" w:lineRule="exact"/>
        <w:ind w:firstLine="480" w:firstLineChars="200"/>
        <w:rPr>
          <w:rFonts w:hint="eastAsia" w:ascii="宋体" w:hAnsi="宋体"/>
          <w:b w:val="0"/>
          <w:bCs/>
          <w:sz w:val="24"/>
        </w:rPr>
      </w:pPr>
      <w:r>
        <w:rPr>
          <w:rFonts w:hint="eastAsia" w:ascii="宋体" w:hAnsi="宋体"/>
          <w:b w:val="0"/>
          <w:bCs/>
          <w:sz w:val="24"/>
        </w:rPr>
        <w:t>（6）经双方确认的其他书面文件。</w:t>
      </w:r>
    </w:p>
    <w:p w14:paraId="54FC29A1">
      <w:pPr>
        <w:spacing w:line="440" w:lineRule="exact"/>
        <w:ind w:firstLine="482" w:firstLineChars="200"/>
        <w:rPr>
          <w:rFonts w:ascii="宋体" w:hAnsi="宋体"/>
          <w:b/>
          <w:sz w:val="24"/>
        </w:rPr>
      </w:pPr>
      <w:r>
        <w:rPr>
          <w:rFonts w:hint="eastAsia" w:ascii="宋体" w:hAnsi="宋体"/>
          <w:b/>
          <w:sz w:val="24"/>
          <w:lang w:val="en-US" w:eastAsia="zh-CN"/>
        </w:rPr>
        <w:t>八</w:t>
      </w:r>
      <w:r>
        <w:rPr>
          <w:rFonts w:hint="eastAsia" w:ascii="宋体" w:hAnsi="宋体"/>
          <w:b/>
          <w:sz w:val="24"/>
        </w:rPr>
        <w:t>、其他约定</w:t>
      </w:r>
    </w:p>
    <w:p w14:paraId="617E1D5B">
      <w:pPr>
        <w:spacing w:line="440" w:lineRule="exact"/>
        <w:ind w:firstLine="480" w:firstLineChars="20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1、合同执行过程中，甲乙双方如发生纠纷，应本着友好原则协商解决。如无法协商解决，甲乙双方应当向甲方住所地法院起诉解决。</w:t>
      </w:r>
    </w:p>
    <w:p w14:paraId="6C575EAE">
      <w:pPr>
        <w:spacing w:line="440" w:lineRule="exact"/>
        <w:ind w:firstLine="480" w:firstLineChars="20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2、合同未尽事宜，由甲乙双方协商后以书面形式记录并作为本合同的附件。合同附件为合同的有效组成部分，与合同具有同等效力。</w:t>
      </w:r>
    </w:p>
    <w:p w14:paraId="6CD637CD">
      <w:pPr>
        <w:spacing w:line="440" w:lineRule="exact"/>
        <w:ind w:firstLine="480" w:firstLineChars="20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3、</w:t>
      </w:r>
      <w:r>
        <w:rPr>
          <w:rFonts w:hint="eastAsia" w:ascii="宋体" w:hAnsi="宋体"/>
          <w:sz w:val="24"/>
          <w:lang w:val="en-US" w:eastAsia="zh-CN"/>
        </w:rPr>
        <w:t>本合同不属于格式合同，双方均有权对合同条款提出修改、补充意见，最终条款由双方协商一致确定</w:t>
      </w:r>
      <w:r>
        <w:rPr>
          <w:rFonts w:hint="eastAsia" w:ascii="宋体" w:hAnsi="宋体"/>
          <w:sz w:val="24"/>
        </w:rPr>
        <w:t>。</w:t>
      </w:r>
    </w:p>
    <w:p w14:paraId="37E0E0C4">
      <w:pPr>
        <w:spacing w:line="440" w:lineRule="exact"/>
        <w:ind w:firstLine="480" w:firstLineChars="20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4.本合同一式</w:t>
      </w:r>
      <w:permStart w:id="43" w:edGrp="everyone"/>
      <w:r>
        <w:rPr>
          <w:rFonts w:hint="eastAsia" w:ascii="宋体" w:hAnsi="宋体"/>
          <w:sz w:val="24"/>
          <w:u w:val="single"/>
        </w:rPr>
        <w:t xml:space="preserve">  </w:t>
      </w:r>
      <w:permEnd w:id="43"/>
      <w:r>
        <w:rPr>
          <w:rFonts w:hint="eastAsia" w:ascii="宋体" w:hAnsi="宋体"/>
          <w:sz w:val="24"/>
        </w:rPr>
        <w:t>份，甲方执</w:t>
      </w:r>
      <w:permStart w:id="44" w:edGrp="everyone"/>
      <w:r>
        <w:rPr>
          <w:rFonts w:hint="eastAsia" w:ascii="宋体" w:hAnsi="宋体"/>
          <w:sz w:val="24"/>
          <w:u w:val="single"/>
        </w:rPr>
        <w:t xml:space="preserve">  </w:t>
      </w:r>
      <w:permEnd w:id="44"/>
      <w:r>
        <w:rPr>
          <w:rFonts w:hint="eastAsia" w:ascii="宋体" w:hAnsi="宋体"/>
          <w:sz w:val="24"/>
        </w:rPr>
        <w:t>份，乙方执</w:t>
      </w:r>
      <w:permStart w:id="45" w:edGrp="everyone"/>
      <w:r>
        <w:rPr>
          <w:rFonts w:hint="eastAsia" w:ascii="宋体" w:hAnsi="宋体"/>
          <w:sz w:val="24"/>
          <w:u w:val="single"/>
        </w:rPr>
        <w:t xml:space="preserve">  </w:t>
      </w:r>
      <w:permEnd w:id="45"/>
      <w:r>
        <w:rPr>
          <w:rFonts w:hint="eastAsia" w:ascii="宋体" w:hAnsi="宋体"/>
          <w:sz w:val="24"/>
        </w:rPr>
        <w:t>份，具有同等法律效力，本合同自甲乙双方签字盖章之日起生效。</w:t>
      </w:r>
    </w:p>
    <w:p w14:paraId="03B569EC">
      <w:pPr>
        <w:spacing w:line="440" w:lineRule="exact"/>
        <w:ind w:firstLine="480" w:firstLineChars="20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甲   方(盖章)：                       乙   方(盖章)：</w:t>
      </w:r>
    </w:p>
    <w:p w14:paraId="75884153">
      <w:pPr>
        <w:spacing w:line="440" w:lineRule="exact"/>
        <w:ind w:firstLine="480" w:firstLineChars="20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采购项目申请单位负责人：</w:t>
      </w:r>
    </w:p>
    <w:p w14:paraId="3AAC4826">
      <w:pPr>
        <w:spacing w:line="440" w:lineRule="exact"/>
        <w:ind w:firstLine="480" w:firstLineChars="20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法定代表人（委托代理人）：             法定代表人(委托代理人）：</w:t>
      </w:r>
    </w:p>
    <w:p w14:paraId="459DB4D2">
      <w:pPr>
        <w:spacing w:line="440" w:lineRule="exact"/>
        <w:ind w:firstLine="480" w:firstLineChars="20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联系方式：</w:t>
      </w:r>
      <w:permStart w:id="46" w:edGrp="everyone"/>
      <w:r>
        <w:rPr>
          <w:rFonts w:hint="eastAsia" w:ascii="宋体" w:hAnsi="宋体"/>
          <w:sz w:val="24"/>
        </w:rPr>
        <w:t xml:space="preserve">                  </w:t>
      </w:r>
      <w:permEnd w:id="46"/>
      <w:r>
        <w:rPr>
          <w:rFonts w:hint="eastAsia" w:ascii="宋体" w:hAnsi="宋体"/>
          <w:sz w:val="24"/>
        </w:rPr>
        <w:t xml:space="preserve">          联系方式：</w:t>
      </w:r>
      <w:permStart w:id="47" w:edGrp="everyone"/>
    </w:p>
    <w:permEnd w:id="47"/>
    <w:p w14:paraId="07C953E2">
      <w:pPr>
        <w:spacing w:line="440" w:lineRule="exact"/>
        <w:ind w:firstLine="480" w:firstLineChars="20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帐   号：36001050490052500256         帐   号：</w:t>
      </w:r>
      <w:permStart w:id="48" w:edGrp="everyone"/>
    </w:p>
    <w:permEnd w:id="48"/>
    <w:p w14:paraId="6809BD59">
      <w:pPr>
        <w:spacing w:line="440" w:lineRule="exact"/>
        <w:ind w:firstLine="480" w:firstLineChars="20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开户银行：中国建设银行南昌前湖支行  开户银行</w:t>
      </w:r>
      <w:permStart w:id="49" w:edGrp="everyone"/>
      <w:r>
        <w:rPr>
          <w:rFonts w:hint="eastAsia" w:ascii="宋体" w:hAnsi="宋体"/>
          <w:sz w:val="24"/>
        </w:rPr>
        <w:t>：</w:t>
      </w:r>
    </w:p>
    <w:permEnd w:id="49"/>
    <w:p w14:paraId="7F9EBF6D">
      <w:pPr>
        <w:spacing w:line="440" w:lineRule="exact"/>
        <w:ind w:firstLine="480" w:firstLineChars="200"/>
        <w:rPr>
          <w:rFonts w:ascii="宋体" w:hAnsi="宋体"/>
          <w:sz w:val="24"/>
        </w:rPr>
      </w:pPr>
    </w:p>
    <w:p w14:paraId="0B13AE5C">
      <w:pPr>
        <w:spacing w:line="440" w:lineRule="exact"/>
        <w:ind w:firstLine="480" w:firstLineChars="20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签约地点：江西省南昌市</w:t>
      </w:r>
    </w:p>
    <w:p w14:paraId="3492B4B2">
      <w:pPr>
        <w:spacing w:line="440" w:lineRule="exact"/>
        <w:ind w:firstLine="480" w:firstLineChars="20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签约时间：</w:t>
      </w:r>
      <w:permStart w:id="50" w:edGrp="everyone"/>
      <w:r>
        <w:rPr>
          <w:rFonts w:hint="eastAsia" w:ascii="宋体" w:hAnsi="宋体"/>
          <w:sz w:val="24"/>
        </w:rPr>
        <w:t xml:space="preserve">      </w:t>
      </w:r>
      <w:permEnd w:id="50"/>
      <w:r>
        <w:rPr>
          <w:rFonts w:hint="eastAsia" w:ascii="宋体" w:hAnsi="宋体"/>
          <w:sz w:val="24"/>
        </w:rPr>
        <w:t xml:space="preserve"> 年</w:t>
      </w:r>
      <w:permStart w:id="51" w:edGrp="everyone"/>
      <w:r>
        <w:rPr>
          <w:rFonts w:hint="eastAsia" w:ascii="宋体" w:hAnsi="宋体"/>
          <w:sz w:val="24"/>
        </w:rPr>
        <w:t xml:space="preserve">   </w:t>
      </w:r>
      <w:permEnd w:id="51"/>
      <w:r>
        <w:rPr>
          <w:rFonts w:hint="eastAsia" w:ascii="宋体" w:hAnsi="宋体"/>
          <w:sz w:val="24"/>
        </w:rPr>
        <w:t>月</w:t>
      </w:r>
      <w:permStart w:id="52" w:edGrp="everyone"/>
      <w:r>
        <w:rPr>
          <w:rFonts w:hint="eastAsia" w:ascii="宋体" w:hAnsi="宋体"/>
          <w:sz w:val="24"/>
        </w:rPr>
        <w:t xml:space="preserve">   </w:t>
      </w:r>
      <w:permEnd w:id="52"/>
      <w:r>
        <w:rPr>
          <w:rFonts w:hint="eastAsia" w:ascii="宋体" w:hAnsi="宋体"/>
          <w:sz w:val="24"/>
        </w:rPr>
        <w:t>日（此处由甲方签字时填写）</w:t>
      </w:r>
    </w:p>
    <w:p w14:paraId="317B68CE"/>
    <w:sectPr>
      <w:headerReference r:id="rId5" w:type="first"/>
      <w:headerReference r:id="rId3" w:type="default"/>
      <w:headerReference r:id="rId4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CE4A932">
    <w:r>
      <w:drawing>
        <wp:anchor distT="0" distB="0" distL="114300" distR="114300" simplePos="0" relativeHeight="251662336" behindDoc="1" locked="0" layoutInCell="1" allowOverlap="1">
          <wp:simplePos x="0" y="0"/>
          <wp:positionH relativeFrom="margin">
            <wp:align>right</wp:align>
          </wp:positionH>
          <wp:positionV relativeFrom="paragraph">
            <wp:posOffset>372110</wp:posOffset>
          </wp:positionV>
          <wp:extent cx="5274310" cy="370840"/>
          <wp:effectExtent l="0" t="0" r="2540" b="0"/>
          <wp:wrapSquare wrapText="bothSides"/>
          <wp:docPr id="1" name="图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274310" cy="3708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 id="WordPictureWatermark274420783" o:spid="_x0000_s4098" o:spt="75" type="#_x0000_t75" style="position:absolute;left:0pt;height:258.5pt;width:261.35pt;mso-position-horizontal:center;mso-position-horizontal-relative:margin;mso-position-vertical:center;mso-position-vertical-relative:margin;z-index:-251655168;mso-width-relative:page;mso-height-relative:page;" filled="f" o:preferrelative="t" stroked="f" coordsize="21600,21600" o:allowincell="f">
          <v:path/>
          <v:fill on="f" focussize="0,0"/>
          <v:stroke on="f" joinstyle="miter"/>
          <v:imagedata r:id="rId2" o:title="资源 6"/>
          <o:lock v:ext="edit" aspectratio="t"/>
        </v:shape>
      </w:pict>
    </w:r>
    <w:r>
      <w:ptab w:relativeTo="margin" w:alignment="center" w:leader="none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CD65B7B">
    <w:pPr>
      <w:pStyle w:val="6"/>
    </w:pPr>
    <w:r>
      <w:pict>
        <v:shape id="WordPictureWatermark274420782" o:spid="_x0000_s4099" o:spt="75" type="#_x0000_t75" style="position:absolute;left:0pt;height:258.5pt;width:261.35pt;mso-position-horizontal:center;mso-position-horizontal-relative:margin;mso-position-vertical:center;mso-position-vertical-relative:margin;z-index:-251656192;mso-width-relative:page;mso-height-relative:page;" filled="f" o:preferrelative="t" stroked="f" coordsize="21600,21600" o:allowincell="f">
          <v:path/>
          <v:fill on="f" focussize="0,0"/>
          <v:stroke on="f" joinstyle="miter"/>
          <v:imagedata r:id="rId1" o:title="资源 6"/>
          <o:lock v:ext="edit" aspectratio="t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6F762FF">
    <w:pPr>
      <w:pStyle w:val="6"/>
    </w:pPr>
    <w:r>
      <w:pict>
        <v:shape id="WordPictureWatermark274420781" o:spid="_x0000_s4097" o:spt="75" type="#_x0000_t75" style="position:absolute;left:0pt;height:258.5pt;width:261.35pt;mso-position-horizontal:center;mso-position-horizontal-relative:margin;mso-position-vertical:center;mso-position-vertical-relative:margin;z-index:-251657216;mso-width-relative:page;mso-height-relative:page;" filled="f" o:preferrelative="t" stroked="f" coordsize="21600,21600" o:allowincell="f">
          <v:path/>
          <v:fill on="f" focussize="0,0"/>
          <v:stroke on="f" joinstyle="miter"/>
          <v:imagedata r:id="rId1" o:title="资源 6"/>
          <o:lock v:ext="edit" aspectratio="t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bordersDoNotSurroundHeader w:val="1"/>
  <w:bordersDoNotSurroundFooter w:val="1"/>
  <w:trackRevisions w:val="1"/>
  <w:documentProtection w:edit="readOnly"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0C3BAA"/>
    <w:rsid w:val="000001E5"/>
    <w:rsid w:val="00072C76"/>
    <w:rsid w:val="0008392B"/>
    <w:rsid w:val="000C3BAA"/>
    <w:rsid w:val="0021185F"/>
    <w:rsid w:val="00263169"/>
    <w:rsid w:val="00274FA3"/>
    <w:rsid w:val="00383622"/>
    <w:rsid w:val="003B67CC"/>
    <w:rsid w:val="00493B8B"/>
    <w:rsid w:val="004B2386"/>
    <w:rsid w:val="005838CA"/>
    <w:rsid w:val="005E39BF"/>
    <w:rsid w:val="0063643A"/>
    <w:rsid w:val="007C02CD"/>
    <w:rsid w:val="00867AB6"/>
    <w:rsid w:val="008920C6"/>
    <w:rsid w:val="008947BF"/>
    <w:rsid w:val="008C4956"/>
    <w:rsid w:val="009041F8"/>
    <w:rsid w:val="0092116A"/>
    <w:rsid w:val="00930CBA"/>
    <w:rsid w:val="00936C2F"/>
    <w:rsid w:val="009C701B"/>
    <w:rsid w:val="00B01452"/>
    <w:rsid w:val="00B479B9"/>
    <w:rsid w:val="00B84756"/>
    <w:rsid w:val="00C10FC9"/>
    <w:rsid w:val="00C3222E"/>
    <w:rsid w:val="00CC4176"/>
    <w:rsid w:val="00CF545C"/>
    <w:rsid w:val="00D9726C"/>
    <w:rsid w:val="00E02467"/>
    <w:rsid w:val="00EE37E2"/>
    <w:rsid w:val="00F45D38"/>
    <w:rsid w:val="00F7179A"/>
    <w:rsid w:val="00FF3837"/>
    <w:rsid w:val="12037C1E"/>
    <w:rsid w:val="1A4C65D9"/>
    <w:rsid w:val="385B68CC"/>
    <w:rsid w:val="6C091941"/>
    <w:rsid w:val="7FC9276E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qFormat="1"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semiHidden/>
    <w:unhideWhenUsed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6"/>
    <w:semiHidden/>
    <w:unhideWhenUsed/>
    <w:uiPriority w:val="99"/>
    <w:pPr>
      <w:jc w:val="left"/>
    </w:pPr>
    <w:rPr>
      <w:rFonts w:asciiTheme="minorHAnsi" w:hAnsiTheme="minorHAnsi" w:eastAsiaTheme="minorEastAsia" w:cstheme="minorBidi"/>
      <w:szCs w:val="22"/>
    </w:rPr>
  </w:style>
  <w:style w:type="paragraph" w:styleId="3">
    <w:name w:val="Plain Text"/>
    <w:basedOn w:val="1"/>
    <w:semiHidden/>
    <w:unhideWhenUsed/>
    <w:uiPriority w:val="99"/>
    <w:rPr>
      <w:rFonts w:ascii="宋体" w:hAnsi="Courier New" w:cstheme="minorBidi"/>
      <w:szCs w:val="22"/>
    </w:rPr>
  </w:style>
  <w:style w:type="paragraph" w:styleId="4">
    <w:name w:val="Balloon Text"/>
    <w:basedOn w:val="1"/>
    <w:link w:val="18"/>
    <w:semiHidden/>
    <w:unhideWhenUsed/>
    <w:qFormat/>
    <w:uiPriority w:val="99"/>
    <w:rPr>
      <w:rFonts w:asciiTheme="minorHAnsi" w:hAnsiTheme="minorHAnsi" w:eastAsiaTheme="minorEastAsia" w:cstheme="minorBidi"/>
      <w:sz w:val="18"/>
      <w:szCs w:val="18"/>
    </w:rPr>
  </w:style>
  <w:style w:type="paragraph" w:styleId="5">
    <w:name w:val="footer"/>
    <w:basedOn w:val="1"/>
    <w:link w:val="15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6">
    <w:name w:val="header"/>
    <w:basedOn w:val="1"/>
    <w:link w:val="14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paragraph" w:styleId="7">
    <w:name w:val="annotation subject"/>
    <w:basedOn w:val="2"/>
    <w:next w:val="2"/>
    <w:link w:val="17"/>
    <w:semiHidden/>
    <w:unhideWhenUsed/>
    <w:qFormat/>
    <w:uiPriority w:val="99"/>
    <w:rPr>
      <w:b/>
      <w:bCs/>
    </w:rPr>
  </w:style>
  <w:style w:type="table" w:styleId="9">
    <w:name w:val="Table Grid"/>
    <w:basedOn w:val="8"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1">
    <w:name w:val="page number"/>
    <w:basedOn w:val="10"/>
    <w:semiHidden/>
    <w:unhideWhenUsed/>
    <w:qFormat/>
    <w:uiPriority w:val="99"/>
  </w:style>
  <w:style w:type="character" w:styleId="12">
    <w:name w:val="Hyperlink"/>
    <w:basedOn w:val="10"/>
    <w:qFormat/>
    <w:uiPriority w:val="0"/>
    <w:rPr>
      <w:color w:val="0000FF"/>
      <w:u w:val="single"/>
    </w:rPr>
  </w:style>
  <w:style w:type="character" w:styleId="13">
    <w:name w:val="annotation reference"/>
    <w:basedOn w:val="10"/>
    <w:semiHidden/>
    <w:unhideWhenUsed/>
    <w:qFormat/>
    <w:uiPriority w:val="99"/>
    <w:rPr>
      <w:sz w:val="21"/>
      <w:szCs w:val="21"/>
    </w:rPr>
  </w:style>
  <w:style w:type="character" w:customStyle="1" w:styleId="14">
    <w:name w:val="页眉 Char"/>
    <w:basedOn w:val="10"/>
    <w:link w:val="6"/>
    <w:qFormat/>
    <w:uiPriority w:val="99"/>
    <w:rPr>
      <w:sz w:val="18"/>
      <w:szCs w:val="18"/>
    </w:rPr>
  </w:style>
  <w:style w:type="character" w:customStyle="1" w:styleId="15">
    <w:name w:val="页脚 Char"/>
    <w:basedOn w:val="10"/>
    <w:link w:val="5"/>
    <w:qFormat/>
    <w:uiPriority w:val="99"/>
    <w:rPr>
      <w:sz w:val="18"/>
      <w:szCs w:val="18"/>
    </w:rPr>
  </w:style>
  <w:style w:type="character" w:customStyle="1" w:styleId="16">
    <w:name w:val="批注文字 Char"/>
    <w:basedOn w:val="10"/>
    <w:link w:val="2"/>
    <w:semiHidden/>
    <w:qFormat/>
    <w:uiPriority w:val="99"/>
  </w:style>
  <w:style w:type="character" w:customStyle="1" w:styleId="17">
    <w:name w:val="批注主题 Char"/>
    <w:basedOn w:val="16"/>
    <w:link w:val="7"/>
    <w:semiHidden/>
    <w:qFormat/>
    <w:uiPriority w:val="99"/>
    <w:rPr>
      <w:b/>
      <w:bCs/>
    </w:rPr>
  </w:style>
  <w:style w:type="character" w:customStyle="1" w:styleId="18">
    <w:name w:val="批注框文本 Char"/>
    <w:basedOn w:val="10"/>
    <w:link w:val="4"/>
    <w:semiHidden/>
    <w:qFormat/>
    <w:uiPriority w:val="99"/>
    <w:rPr>
      <w:sz w:val="18"/>
      <w:szCs w:val="18"/>
    </w:rPr>
  </w:style>
  <w:style w:type="paragraph" w:customStyle="1" w:styleId="19">
    <w:name w:val="p0"/>
    <w:basedOn w:val="1"/>
    <w:qFormat/>
    <w:uiPriority w:val="0"/>
    <w:pPr>
      <w:widowControl/>
      <w:jc w:val="left"/>
    </w:pPr>
    <w:rPr>
      <w:kern w:val="0"/>
      <w:szCs w:val="21"/>
    </w:rPr>
  </w:style>
  <w:style w:type="paragraph" w:styleId="20">
    <w:name w:val="Intense Quote"/>
    <w:basedOn w:val="1"/>
    <w:next w:val="1"/>
    <w:link w:val="21"/>
    <w:qFormat/>
    <w:uiPriority w:val="30"/>
    <w:pPr>
      <w:pBdr>
        <w:top w:val="single" w:color="5B9BD5" w:themeColor="accent1" w:sz="4" w:space="10"/>
        <w:bottom w:val="single" w:color="5B9BD5" w:themeColor="accent1" w:sz="4" w:space="10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21">
    <w:name w:val="明显引用 Char"/>
    <w:basedOn w:val="10"/>
    <w:link w:val="20"/>
    <w:qFormat/>
    <w:uiPriority w:val="30"/>
    <w:rPr>
      <w:rFonts w:ascii="Times New Roman" w:hAnsi="Times New Roman" w:eastAsia="宋体" w:cs="Times New Roman"/>
      <w:i/>
      <w:iCs/>
      <w:color w:val="5B9BD5" w:themeColor="accent1"/>
      <w:szCs w:val="24"/>
    </w:rPr>
  </w:style>
  <w:style w:type="paragraph" w:styleId="22">
    <w:name w:val="Quote"/>
    <w:basedOn w:val="1"/>
    <w:next w:val="1"/>
    <w:link w:val="23"/>
    <w:qFormat/>
    <w:uiPriority w:val="29"/>
    <w:pPr>
      <w:spacing w:before="200" w:after="160"/>
      <w:ind w:left="864" w:right="864"/>
      <w:jc w:val="center"/>
    </w:pPr>
    <w:rPr>
      <w:i/>
      <w:iCs/>
      <w:color w:val="3F3F3F" w:themeColor="text1" w:themeTint="BF"/>
    </w:rPr>
  </w:style>
  <w:style w:type="character" w:customStyle="1" w:styleId="23">
    <w:name w:val="引用 Char"/>
    <w:basedOn w:val="10"/>
    <w:link w:val="22"/>
    <w:qFormat/>
    <w:uiPriority w:val="29"/>
    <w:rPr>
      <w:rFonts w:ascii="Times New Roman" w:hAnsi="Times New Roman" w:eastAsia="宋体" w:cs="Times New Roman"/>
      <w:i/>
      <w:iCs/>
      <w:color w:val="3F3F3F" w:themeColor="text1" w:themeTint="BF"/>
      <w:szCs w:val="24"/>
    </w:rPr>
  </w:style>
  <w:style w:type="paragraph" w:styleId="24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4098"/>
    <customShpInfo spid="_x0000_s4099"/>
    <customShpInfo spid="_x0000_s409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3</Pages>
  <Words>1699</Words>
  <Characters>1725</Characters>
  <Lines>11</Lines>
  <Paragraphs>3</Paragraphs>
  <TotalTime>0</TotalTime>
  <ScaleCrop>false</ScaleCrop>
  <LinksUpToDate>false</LinksUpToDate>
  <CharactersWithSpaces>1876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2018-03-22T07:26:00Z</dcterms:created>
  <dc:creator>Microsoft 帐户</dc:creator>
  <cp:lastModifiedBy>爱吃鱼的包子</cp:lastModifiedBy>
  <dcterms:modified xsi:type="dcterms:W3CDTF">2026-07-07T06:31:33Z</dcterms:modified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eyJoZGlkIjoiYzhjNmU0NWI3OWYwOWY1ZGQ2ZGE5NGVkY2FkYTcxZWYiLCJ1c2VySWQiOiIxMjAxNzIzMzc4In0=</vt:lpwstr>
  </property>
  <property fmtid="{D5CDD505-2E9C-101B-9397-08002B2CF9AE}" pid="4" name="ICV">
    <vt:lpwstr>A2FF87C05FC848BCAEDE073D4D7EB1E6_12</vt:lpwstr>
  </property>
</Properties>
</file>